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3：</w:t>
      </w:r>
    </w:p>
    <w:p>
      <w:pPr>
        <w:adjustRightInd w:val="0"/>
        <w:snapToGrid w:val="0"/>
        <w:spacing w:line="588" w:lineRule="exact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徽新华学院简介及2025届相关专业应届毕业生数据</w:t>
      </w: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徽新华学院是拥有学士学位授予权的省属普通本科高校，位于合肥综合性国家科学中心的核心区，校园紧邻大蜀山。学校于2000年创办，2005年经教育部批准升格为普通本科高校，2013年通过教育部本科教学工作合格评估，2015年获批安徽省地方应用型高水平大学建设单位，2019年获批安徽省硕士学位授予立项建设单位。2023年顺利完成教育部新一轮本科教育教学审核评估，并获专家一致好评。2024年获批安徽省重点立项建设硕士学位授予单位。</w:t>
      </w: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学校现有61个本科专业，设有10个二级学院和2个教学(院)部，各类在校生2.4万余人，教职工1500余人。学校占地面积1500余亩，建筑面积52.30万平方米。教学科研仪器设备总值1.59亿元，图书馆馆藏文献总量300余万册。</w:t>
      </w: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学校坚持“教育为民、育人为本、服务社会”办学宗旨，坚持地方性、应用型、开放式办学定位，遵循“需求导向、产教 融合、错位争先、特色发展”办学思路，实施“专家治校、人才兴校、质量立校、特色强校”治校方略，不断深化教育教学改革，形成了以工、管为主，经、教、文、医(药)、艺等多学科协调发展的学科专业体系。学校拥有国家级一流本科专业建设点4个，国家级一流本科课程1门，国家级大学生校外实践教学基地 1个。现有安徽省高校重点实验室和人文社科重点研究基地各1个，省级卓越工程师教育培养计划和人才培养模式创新实验区30个，省级示范实验实训中心和实践教学基地22个，获省级教学成果特等奖1项，一等奖3项，二等奖18项。近三年先后与300多家知名企业、10余家科研院所建立了稳定的合作关系，245个实践教学基地，立项建设3个省级现代产业学院、1个未来技术学院、1个特色示范软件学院。</w:t>
      </w:r>
    </w:p>
    <w:p>
      <w:pPr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学校坚守“新华教育、兴国为民”的办学使命，落实立德树人根本任务，为国家培养了10万余名高素质应用型人才。学校先后获评“全国教育系统先进集体”“全国就业工作典型经验高校五十强”“全国十佳民办高校”“安徽省大学生思想政治教育工作先进集体”“安徽省‘三全育人’综合改革试点单位”“安徽省大学生创新创业教育示范高校”“安徽省普通高校就业工作先进集体、标兵单位、成效突出单位”“安徽省首批创业学院”等荣誉称号。学校毕业生动手能力强，综合素质高，普遍受到用人单位的好评，毕业生就业率达95%以上。</w:t>
      </w:r>
      <w:bookmarkStart w:id="0" w:name="_GoBack"/>
      <w:bookmarkEnd w:id="0"/>
    </w:p>
    <w:p>
      <w:pPr>
        <w:jc w:val="center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2025届相关专业应届毕业生数据</w:t>
      </w:r>
    </w:p>
    <w:tbl>
      <w:tblPr>
        <w:tblStyle w:val="2"/>
        <w:tblW w:w="9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892"/>
        <w:gridCol w:w="1162"/>
        <w:gridCol w:w="1813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二级学院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专业（班级）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毕业生人数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电子工程学院/智能制造学院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电子信息工程（专升本）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两年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通信工程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物联网工程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机器人工程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自动化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电子信息工程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机电—体化技术（五贯）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两年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汽车检测与维修技术（五贯）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两年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机械设计制造及其自动化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电气工程及其自动化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eastAsia="zh-CN"/>
              </w:rPr>
              <w:t>美术学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default" w:ascii="仿宋" w:hAnsi="仿宋" w:eastAsia="仿宋" w:cs="仿宋"/>
                <w:sz w:val="30"/>
                <w:szCs w:val="30"/>
                <w:lang w:eastAsia="zh-CN"/>
              </w:rPr>
              <w:t>四年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动漫制作技术（五贯）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两年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JiYjFjNWRiYmZkMTUyNGJlM2E5YWVkZjE0M2UifQ=="/>
  </w:docVars>
  <w:rsids>
    <w:rsidRoot w:val="00000000"/>
    <w:rsid w:val="693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2024-11-12T02:33:06Z</dcterms:created>
  <dc:creator>Administrator</dc:creator>
  <cp:lastModifiedBy>Arrow Oliver</cp:lastModifiedBy>
  <dcterms:modified xsi:type="dcterms:W3CDTF">2024-11-12T02:33:32Z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4B8168B5FBFB420C95D9CDFE95A6CE93_12</vt:lpwstr>
  </property>
</Properties>
</file>