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安徽省电力优质工程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评审</w:t>
      </w:r>
      <w:r>
        <w:rPr>
          <w:rFonts w:hint="eastAsia" w:ascii="宋体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第一章  总  则</w:t>
      </w:r>
    </w:p>
    <w:p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为推动安徽省电力建设工程高质量发展，表彰在工程质量、安全管理、科技创新和技术进步、诚信建设、经济效益和社会效益等方面做出突出成绩的电力企业，提升电力建设工程综合管理水平，促进电力行业健康发展，规范安徽省电力优质工程评选活动，安徽省电力协会（以下简称协会）依据现行国家法律、法规及有关规定，制定本办法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协会负责组织实施安徽省电力优质工程评选活动，每年开展一次。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安徽省电力优质工程评选本着企业自愿的原则组织申报，按企业申报、形式审查、合规性核实、工程核查、会议评选、审定批准等程序进行。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申报工程应符合国家能源建设发展理念，工程建设质量的综合指标应达到国内同期、同类先进水平，且具有良好的经济、环境、社会效益。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协会坚持公开、公平、公正、优中选优的原则，从安徽省电力优质工程中，推荐具有代表性的工程，申报更高级别的优质工程奖。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第二章  基本规定</w:t>
      </w:r>
    </w:p>
    <w:p>
      <w:pPr>
        <w:adjustRightInd w:val="0"/>
        <w:snapToGrid w:val="0"/>
        <w:spacing w:line="540" w:lineRule="exact"/>
        <w:ind w:firstLine="560" w:firstLineChars="200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申报工程应是电力承装（修、试）工程（含省外），包括火力发电、水电水利（含抽水蓄能）、输变电、风力发电、光伏发电（含光热）、垃圾焚烧发电、分布式能源工程、储能及其他新能源电力工程。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第七条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申报工程应投产并使用半年且不超过三年（以项目申报截止日期为准）。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申报单位应是建设单位、工程总承包单位或主体工程施工单位以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及主要参建方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。主体工程由两个及以上单位共同承建的，应明确一个主申报单位牵头申报。申报单位应是协会会员单位。每家会员单位限报一个工程。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有下列情况之一者不得申报：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1.未核准（备案）或停建、缓建的工程；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2.存在质量隐患、安全隐患、功能性缺陷的工程；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3.配套环保工程未正常投运的工程；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4.存在有甩项的遗留工程；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5.工程建设全过程发生过一般及以上安全、质量责任事故、重大环境污染事故和重大不良社会影响事件的工程。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安徽省电力优质工程申报容量和规模要求（附件3）：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1.电压等级35kV及以上的输变电工程（线路长度折单10km及以上）； 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2.装机容量25MW及以上的风力发电工程；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3.装机容量6MW及以上的光伏发电工程；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4.装机容量6MW及以上的分布式能源工程（含供热机组）；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5.装机容量250MW及以上的水电水利工程（含抽水蓄能）；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6.单机容量125MW及以上的火电工程（含燃机）；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7.单机容量6MW及以上的垃圾焚烧及生物质发电工程；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8.以上项未列入的，工程造价3000万元及以上或建安工作量600万元（占主体工程15%）及以上的其他电力工程；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9.工程建安工作量500万元及以上，且具有独立使用功能的单项工程，如环保、储能、节能减排改造、园区（小区）等10千伏电力配套工程。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工程设计应先进、合理，主要技术经济指标及节能减排指标应满足设计值和合同保证值。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工程须通过竣工质量验收，档案完整、准确、系统，便于快捷检索利用。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同期核准的变电站和线路工程，可作为一个输变电工程申报，也可分别申报。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分多期核准（备案）连续建设的风力、光伏（光热）发电工程，升压站、中控楼等共用的，可多期合并申报，也可各期独立申报。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第三章  申  报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安徽省电力优质工程采取电子版形式审查（初审）、纸质件现场核查（复审）申报的方式进行申报。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申报提交下列资料：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1.承诺书（见附录1）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2.安徽省电力优质工程申报表（见附录2）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3.工程简介（1500字以内），内容包括：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（1）工程概况；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（2）工程建设的合规性；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（3）工程质量管理的有效性；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（4）建筑、安装工程质量优良的符合性；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（5）主要技术经济指标及节能减排的先进性；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（6）工程独具的质量特色；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（7）工程获奖情况（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含专利、工法、省级行业协会及以上科技进步奖、电力创新成果、质量管理小组活动成果等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（8）经济效益和社会责任。</w:t>
      </w:r>
    </w:p>
    <w:p>
      <w:pPr>
        <w:adjustRightInd w:val="0"/>
        <w:snapToGrid w:val="0"/>
        <w:spacing w:line="540" w:lineRule="exact"/>
        <w:ind w:left="638" w:leftChars="304" w:firstLine="0" w:firstLineChars="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4.工程建设合规性证明文件（原件或扫描件）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建设单位申报：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（1）项目核准（备案）文件（发改委）；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（2）土地使用证（不动产权证）；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（3）环境保护验收报告（建设单位编制）；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（4）水土保持设施验收报告（有资质的第三方编制，并报水土保持方案审批机关报备）；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（5）档案验收文件（上级主管单位或地方档案行政管理部门）；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（6）消防验收文件（地方住房和城乡建设主管部门）；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（7）竣工验收文件（集团公司或上级主管单位）；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（8）竣工财务决算报告（首页、结论页和盖章页）；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（9）水电水利枢纽工程竣工验收文件（项目核准部门委托的验收委员会）；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（10）工程投产后质量监督报告或投产后的运行报告（首页、结论页和盖章页）；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（11）建设期无一般及以上安全事故证明（地方安全生产监管部门或集团公司）；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（12）安评报告，包括预评价和评价两阶段（有资质的第三方编制，并经安全部门评审）；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（13）工程施工许可、系统接入评审意见、并网许可等（如项目包含所需内容，由相关部门提供）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说明：合规性证明文件以最新国家、地方等法律法规要求为准。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施工单位申报：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（1）竣工验收文件（建设单位）；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（2）竣工财务决算报告（首页、结论页和盖章页）；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5.其他相关证明文件（原件或扫描件）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（1）工程合同（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工程合同只需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能体现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工程名称、发包和承建单位、工程规模、开竣工时间、发包和承建单位签字和盖章的部分</w:t>
      </w:r>
      <w:r>
        <w:rPr>
          <w:rFonts w:hint="eastAsia" w:ascii="仿宋" w:hAnsi="仿宋" w:eastAsia="仿宋"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等合同关键页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即可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（2）工程（机组）移交生产签证书（启动验收委员会或业主方组织的有资质的第三方验收机构出具）（依据工程合同需要）；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（3）工程达标投产验收文件（启动验收委员会或业主方组织的有资质的第三方机构出具）（依据工程合同需要）；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（4）工程获奖证书；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（5）安全生产标准化达标评审报告；</w:t>
      </w:r>
      <w:bookmarkStart w:id="0" w:name="_GoBack"/>
      <w:bookmarkEnd w:id="0"/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6.工程照片不少于10张，照片应有题名，JPEG格式，3M及以上。其中工程全貌2张，与工程结构和隐蔽工程相关的3张，主体设备安装工程3张，质量特色部位2张。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7.反映工程质量特色的专题汇报PPT（主要内容参见本条3.工程简介）。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第十七条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申报资料应填写完整，目录和页码对应，证明文件应内容齐全、真实有效、结论明确、签章清晰。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协会组织专家按本办法的有关规定对申报资料进行形式审查（初审）。存在下列情况之一的，形式审查（初审）不予通过：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1.投产时间不符合要求的工程。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2.未完成竣工验收的工程。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3.合规性证明文件不齐全的工程。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4.申报资料不完整的工程。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第四章  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核查</w:t>
      </w:r>
    </w:p>
    <w:p>
      <w:pPr>
        <w:adjustRightInd w:val="0"/>
        <w:snapToGrid w:val="0"/>
        <w:spacing w:line="540" w:lineRule="exact"/>
        <w:ind w:firstLine="536" w:firstLineChars="200"/>
        <w:rPr>
          <w:rFonts w:eastAsia="仿宋_GB2312"/>
          <w:bCs/>
          <w:color w:val="000000" w:themeColor="text1"/>
          <w:spacing w:val="-6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第十九条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协会根据申报工程类型组织若干现场核查组，对通过形式审查的工程进行核查或抽查。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现场核查的主要内容及方法：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1.首次会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（1）主申报单位简要汇报工程质量情况；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（2）反映工程质量特色的专题汇报（PPT或视频）；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（3）其他参建单位补充汇报。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（4）现场核查工作部署。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2.现场核查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（1）现场核查组按照《安徽省电力建设优秀工程评审表》对表核查。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（2）主申报单位应提供工程建设合规性证明文件（原件或扫描件）、其他证明文件（原件或扫描件）及工程获奖证书原件等资料，供工程核查组成员现场核查。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（3）现场核查组编制“安徽省电力优质工程现场核查问题反馈”PPT。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3.末次会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（1）现场核查组成员依据“安徽省电力优质工程现场核查问题反馈”PPT，对申报单位进行点评反馈。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（2）现场核查组组长总结工程现场核查的主要内容。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（3）主申报单位表态发言。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工程现场核查完成后，各组组长向秘书处汇报组内工程现场核查结果。</w:t>
      </w:r>
    </w:p>
    <w:p>
      <w:pPr>
        <w:adjustRightInd w:val="0"/>
        <w:snapToGrid w:val="0"/>
        <w:spacing w:line="540" w:lineRule="exact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第五章  会议</w:t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评选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/>
          <w:bCs/>
          <w:color w:val="000000" w:themeColor="text1"/>
          <w:spacing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协会负责组建评选委员会，评选委员会负责安徽省电力优质工程的评选和省部级、国家级优质工程奖名单的推荐。评选委员会由协会组织业内专家及安徽省电力承装（修、试）企业的代表等组成。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召开评选委员会会议。秘书处向评选委员会汇报工程核查情况，评选委员会全体委员以投票的方式进行表决，形成评选委员会评选结论及会议纪要。安徽省电力优质工程的得票需超过二分之一，拟推荐省部级、国家级优质工程奖的得票需超过三分之二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第六章  审定批准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评选委员会的评选结果提交协会会长审定。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经审定的安徽省电力优质工程名单在协会网站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（网址：https://www.ahpea.cn//）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公示，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公示期限为一周。评审结果公示期后，经协会秘书处批准，印发表彰文件并在协会网站公布。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第七章  表彰奖励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第二十六条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获得“安徽省电力优质工程”的建设、总承包、设计、监理、建设、调试和运营等单位，由协会予以颁发荣誉证书。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并在协会有关会议上表彰。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获奖单位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可在适当场合进行宣传和展示所获得的称号。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第二十七条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协会按“优中选优”的原则，向关联协会推荐参加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电力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优质工程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”参评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名单并出具参评的有关资料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第二十八条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建议获得“安徽省电力优质工程”的获奖单位，可根据有关规定，对做出突出贡献的单位和个人，给予精神和物质奖励。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第八章  其  他</w:t>
      </w:r>
    </w:p>
    <w:p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第二十九条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鼓励工程建设项目全过程应用信息化技术，实施智慧工地建造，提升工程管理水平。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鼓励建设单位依托工程建设加大科技创新投入，研发建设工机具，提高工作效率。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第三十一条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申报单位应当如实提供工程情况和相关资料，出具虚假材料的，取消安徽省电力优质工程评选资格。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第三十二条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申报单位应积极配合现场核查组的现场核查工作，严格执行中央八项规定，若有违规行为，视其情节给予批评警告。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第三十三条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评选委员会成员及秘书处工作人员，应秉公办事，廉洁自律，认真工作。对违反相关规定的，视其情节给予批评警告，或者取消相关资格。</w:t>
      </w:r>
    </w:p>
    <w:p>
      <w:pPr>
        <w:snapToGrid w:val="0"/>
        <w:spacing w:line="54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第九章  附　则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第三十四条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本办法由安徽省电力协会负责解释。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第三十五条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本办法自自颁布之日起施行。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附录：1.承诺书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2.安徽省电力优质工程申报表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eastAsia="zh-CN" w:bidi="ar-SA"/>
          <w14:textFill>
            <w14:solidFill>
              <w14:schemeClr w14:val="tx1"/>
            </w14:solidFill>
          </w14:textFill>
        </w:rPr>
        <w:t xml:space="preserve">      3.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安徽省电力优质工程申报范围及规模</w:t>
      </w:r>
    </w:p>
    <w:p>
      <w:pPr>
        <w:widowControl/>
        <w:jc w:val="left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jc w:val="center"/>
        <w:rPr>
          <w:rFonts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 诺 书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安徽省电力协会：</w:t>
      </w:r>
    </w:p>
    <w:p>
      <w:pPr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我单位承诺，本次申报的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工程所提供的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申报表、基础材料、相关证明性材料认真核对，准确无误，真实有效，并按规定程序进行了申报。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如有弄虚作假情况，自愿承担因此造成的一切责任和后果。</w:t>
      </w: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600" w:firstLineChars="5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主申报单位法人代表签字：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（公章）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6400" w:firstLineChars="20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p>
      <w:pPr>
        <w:widowControl/>
        <w:jc w:val="left"/>
        <w:rPr>
          <w:rFonts w:ascii="黑体" w:eastAsia="黑体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黑体" w:eastAsia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asci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8730"/>
        </w:tabs>
        <w:spacing w:line="556" w:lineRule="exact"/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spacing w:line="556" w:lineRule="exact"/>
        <w:ind w:right="-42" w:rightChars="-20"/>
        <w:rPr>
          <w:color w:val="000000" w:themeColor="text1"/>
          <w:sz w:val="52"/>
          <w14:textFill>
            <w14:solidFill>
              <w14:schemeClr w14:val="tx1"/>
            </w14:solidFill>
          </w14:textFill>
        </w:rPr>
      </w:pPr>
    </w:p>
    <w:p>
      <w:pPr>
        <w:rPr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eastAsia="仿宋_GB2312"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安徽省电力优质工程申报表</w:t>
      </w:r>
    </w:p>
    <w:p>
      <w:pPr>
        <w:spacing w:line="600" w:lineRule="exact"/>
        <w:jc w:val="center"/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(      </w:t>
      </w:r>
      <w:r>
        <w:rPr>
          <w:rFonts w:hint="eastAsia"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ascii="仿宋_GB2312" w:hAnsi="黑体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tabs>
          <w:tab w:val="left" w:pos="8730"/>
        </w:tabs>
        <w:ind w:right="-42" w:rightChars="-20" w:firstLine="1920" w:firstLineChars="600"/>
        <w:rPr>
          <w:rFonts w:ascii="黑体" w:hAnsi="黑体" w:eastAsia="黑体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1440"/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申报工程名称</w:t>
      </w:r>
      <w:r>
        <w:rPr>
          <w:rFonts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before="156" w:beforeLines="50" w:line="600" w:lineRule="exact"/>
        <w:ind w:firstLine="1440"/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申报单位（公章）</w:t>
      </w:r>
      <w:r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before="156" w:beforeLines="50" w:line="600" w:lineRule="exact"/>
        <w:ind w:firstLine="1440"/>
        <w:rPr>
          <w:rFonts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>申报时间</w:t>
      </w:r>
      <w:r>
        <w:rPr>
          <w:rFonts w:eastAsia="黑体"/>
          <w:color w:val="000000" w:themeColor="text1"/>
          <w:spacing w:val="-1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黑体"/>
          <w:color w:val="000000" w:themeColor="text1"/>
          <w:spacing w:val="-10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</w:t>
      </w:r>
    </w:p>
    <w:p>
      <w:pPr>
        <w:tabs>
          <w:tab w:val="left" w:pos="8730"/>
        </w:tabs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8730"/>
        </w:tabs>
        <w:ind w:right="-42" w:rightChars="-20" w:firstLine="2720" w:firstLineChars="850"/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安徽省电力协会</w:t>
      </w:r>
      <w:r>
        <w:rPr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制</w:t>
      </w:r>
    </w:p>
    <w:p>
      <w:pPr>
        <w:spacing w:line="556" w:lineRule="exact"/>
        <w:jc w:val="center"/>
        <w:rPr>
          <w:rFonts w:eastAsia="华文中宋"/>
          <w:bCs/>
          <w:color w:val="000000" w:themeColor="text1"/>
          <w:sz w:val="44"/>
          <w:szCs w:val="48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  表  说  明</w:t>
      </w:r>
    </w:p>
    <w:p>
      <w:pPr>
        <w:spacing w:line="556" w:lineRule="exact"/>
        <w:rPr>
          <w:rFonts w:eastAsia="仿宋_GB2312"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1.表中内容逐栏填写，各栏目填写完整、清晰。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2.表中内容及数据应真实、准确。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3.单位名称均应填写全称，联系方式应填写详细。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4.存在安全质量问题：简述建设中发生的安全质量事故及结论。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5.本申报表可扩展填写。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6.申报内容将作为评选及颁发证书编制依据，请认真核查、填写，提交后不得变更。</w:t>
      </w:r>
    </w:p>
    <w:p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56" w:lineRule="exact"/>
        <w:rPr>
          <w:rFonts w:eastAsia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br w:type="page"/>
      </w:r>
    </w:p>
    <w:p>
      <w:pPr>
        <w:widowControl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一、工程概况</w:t>
      </w:r>
    </w:p>
    <w:tbl>
      <w:tblPr>
        <w:tblStyle w:val="2"/>
        <w:tblW w:w="9184" w:type="dxa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2"/>
        <w:gridCol w:w="1702"/>
        <w:gridCol w:w="1414"/>
        <w:gridCol w:w="571"/>
        <w:gridCol w:w="12"/>
        <w:gridCol w:w="1548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765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申报单位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工程核准批文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（核准部门</w:t>
            </w: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批准动态概算或执行概算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竣工决算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工程总建安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工作量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工程所属集团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工程开工时间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工程竣工时间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主要设备情况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生产厂家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产品型号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差异性特点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工程建设地点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5" w:hRule="atLeast"/>
        </w:trPr>
        <w:tc>
          <w:tcPr>
            <w:tcW w:w="15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存在安全质量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问题及结论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918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以下内容，根据工程类型选择填写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火电工程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装机总容量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主厂房垫层首次浇灌时间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批准每千瓦造价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千瓦）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实际每千瓦</w:t>
            </w:r>
          </w:p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千瓦）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水电水利工程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（含抽水蓄能）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装机总容量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截流日期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主体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开工日期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  <w:t>蓄水日期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第一台机组投产移交日期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输变电工程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电压等级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kV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变电站、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换流站</w:t>
            </w:r>
            <w:r>
              <w:rPr>
                <w:rFonts w:hint="eastAsia" w:ascii="仿宋_GB2312" w:hAnsi="宋体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、园区（小区）</w:t>
            </w: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pacing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变电站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主变压器容量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kVA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主变压器台数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高抗容量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本期无功补偿容量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围墙内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占地面积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站内建筑物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主控楼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建筑面积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线路总长度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线路起止地点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线路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（段）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每段线路长度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同塔回路数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（回）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杆塔总数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大跨越个数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（个）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大跨越长度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风电工程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第一台风机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投运时间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实际单位造价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光伏工程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（含光热）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组件容量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／块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箱变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第一个光伏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方阵投运时间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实际单位造价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储能等其他新能源工程（含分布式能源）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总容量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MW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595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二、主要承建单位及联系方式</w:t>
      </w:r>
    </w:p>
    <w:tbl>
      <w:tblPr>
        <w:tblStyle w:val="2"/>
        <w:tblW w:w="91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"/>
        <w:gridCol w:w="503"/>
        <w:gridCol w:w="718"/>
        <w:gridCol w:w="3884"/>
        <w:gridCol w:w="1135"/>
        <w:gridCol w:w="23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388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第一联系人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第二联系人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上级单位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718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3884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传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箱</w:t>
            </w:r>
          </w:p>
        </w:tc>
        <w:tc>
          <w:tcPr>
            <w:tcW w:w="2301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三、主要承建单位合同（决算）一览表</w:t>
      </w:r>
    </w:p>
    <w:p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本期工程批准动态概算：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竣工决算：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其中总建安工作量</w:t>
      </w:r>
      <w:r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14:textFill>
            <w14:solidFill>
              <w14:schemeClr w14:val="tx1"/>
            </w14:solidFill>
          </w14:textFill>
        </w:rPr>
        <w:t>万元</w:t>
      </w:r>
    </w:p>
    <w:tbl>
      <w:tblPr>
        <w:tblStyle w:val="2"/>
        <w:tblW w:w="9099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0"/>
        <w:gridCol w:w="1556"/>
        <w:gridCol w:w="2745"/>
        <w:gridCol w:w="1007"/>
        <w:gridCol w:w="1007"/>
        <w:gridCol w:w="1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归档号</w:t>
            </w:r>
          </w:p>
        </w:tc>
        <w:tc>
          <w:tcPr>
            <w:tcW w:w="155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承建单位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（全称）</w:t>
            </w:r>
          </w:p>
        </w:tc>
        <w:tc>
          <w:tcPr>
            <w:tcW w:w="27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合同主要承包范围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合同价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决算价</w:t>
            </w:r>
          </w:p>
          <w:p>
            <w:pPr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64" w:type="dxa"/>
            <w:tcBorders>
              <w:top w:val="single" w:color="auto" w:sz="8" w:space="0"/>
            </w:tcBorders>
            <w:vAlign w:val="center"/>
          </w:tcPr>
          <w:p>
            <w:pPr>
              <w:ind w:left="420" w:hanging="480" w:hangingChars="20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占总建安</w:t>
            </w:r>
          </w:p>
          <w:p>
            <w:pPr>
              <w:ind w:left="420" w:hanging="480" w:hangingChars="200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工作量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4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6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0" w:hRule="atLeast"/>
        </w:trPr>
        <w:tc>
          <w:tcPr>
            <w:tcW w:w="9099" w:type="dxa"/>
            <w:gridSpan w:val="6"/>
            <w:tcBorders>
              <w:bottom w:val="single" w:color="auto" w:sz="8" w:space="0"/>
            </w:tcBorders>
          </w:tcPr>
          <w:p>
            <w:pPr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建设单位：（公章）</w:t>
            </w:r>
          </w:p>
          <w:p>
            <w:pPr>
              <w:ind w:right="525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right="840"/>
              <w:jc w:val="righ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left="55" w:leftChars="26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主体</w:t>
      </w:r>
      <w:r>
        <w:rPr>
          <w:rFonts w:hint="eastAsia" w:ascii="仿宋_GB2312" w:eastAsia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单位按其承包范围的建安工作量填写。</w:t>
      </w:r>
    </w:p>
    <w:p>
      <w:pPr>
        <w:ind w:left="55" w:leftChars="26" w:firstLine="480" w:firstLineChars="200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设计、监理、调试等单位按合同额填写，不填写占总建安工作量的百分比。</w:t>
      </w:r>
    </w:p>
    <w:p>
      <w:pPr>
        <w:ind w:left="55" w:leftChars="26" w:firstLine="480" w:firstLineChars="200"/>
        <w:jc w:val="left"/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“合同主要承包范围”应缩写至</w:t>
      </w:r>
      <w:r>
        <w:rPr>
          <w:rFonts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字以内，供证书打印时使用。</w:t>
      </w:r>
    </w:p>
    <w:p>
      <w:pPr>
        <w:widowControl/>
        <w:jc w:val="left"/>
        <w:rPr>
          <w:rFonts w:eastAsia="仿宋_GB2312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四、推荐意见</w:t>
      </w:r>
    </w:p>
    <w:p>
      <w:pPr>
        <w:spacing w:line="120" w:lineRule="exact"/>
        <w:rPr>
          <w:rFonts w:eastAsia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27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0" w:hRule="atLeast"/>
        </w:trPr>
        <w:tc>
          <w:tcPr>
            <w:tcW w:w="9127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00" w:firstLineChars="10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工程建设单位意见（质量特色、推荐理由）：</w:t>
            </w: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ind w:left="5550" w:leftChars="2643"/>
              <w:jc w:val="center"/>
              <w:rPr>
                <w:rFonts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default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录</w:t>
      </w:r>
      <w:r>
        <w:rPr>
          <w:rFonts w:hint="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z w:val="40"/>
          <w:szCs w:val="44"/>
          <w:lang w:val="en-US" w:eastAsia="zh-CN"/>
          <w14:textFill>
            <w14:solidFill>
              <w14:schemeClr w14:val="tx1"/>
            </w14:solidFill>
          </w14:textFill>
        </w:rPr>
        <w:t>安徽省电力</w:t>
      </w:r>
      <w:r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优质工程申报范围及规模</w:t>
      </w:r>
    </w:p>
    <w:p>
      <w:pPr>
        <w:widowControl/>
        <w:jc w:val="center"/>
        <w:rPr>
          <w:rFonts w:hint="eastAsia" w:ascii="方正小标宋简体" w:eastAsia="方正小标宋简体"/>
          <w:bCs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工程类别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规模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输变电工程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电压等级35kV～330kV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风力发电工程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装机容量25MW及以上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光伏发电工程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装机容量6MW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分布式能源工程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装机容量6MW及以上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水电水利工程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装机容量250MW及以上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单机容量125MW及以上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垃圾焚烧及生物质发电工程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单机容量6MW及以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其他电力工程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3000万元及以上或建安工作量600万元（占主体工程的15%）及以上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82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电力配套工程</w:t>
            </w:r>
          </w:p>
        </w:tc>
        <w:tc>
          <w:tcPr>
            <w:tcW w:w="524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工程建安工作量</w:t>
            </w:r>
            <w:r>
              <w:rPr>
                <w:rFonts w:hint="default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万元及以上，且具有独立使用功能的单项工程，如燃料、管网、环保、储能、海水淡化、直接空冷、节能减排改造等</w:t>
            </w:r>
          </w:p>
        </w:tc>
      </w:tr>
    </w:tbl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4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安徽</w:t>
      </w: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电力建设优秀</w:t>
      </w: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评审表</w:t>
      </w:r>
    </w:p>
    <w:p>
      <w:pPr>
        <w:jc w:val="center"/>
        <w:rPr>
          <w:rFonts w:hint="default" w:ascii="仿宋" w:hAnsi="仿宋" w:eastAsia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（现场核查参考）</w:t>
      </w:r>
    </w:p>
    <w:tbl>
      <w:tblPr>
        <w:tblStyle w:val="2"/>
        <w:tblW w:w="15026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4638"/>
        <w:gridCol w:w="2674"/>
        <w:gridCol w:w="1699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</w:tc>
        <w:tc>
          <w:tcPr>
            <w:tcW w:w="7633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评分项及分值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得分条件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本项评分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实体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核查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（50分）</w:t>
            </w:r>
          </w:p>
        </w:tc>
        <w:tc>
          <w:tcPr>
            <w:tcW w:w="731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1、工程安全质量体系健全、目标明确、管理措施有效，管理体系运行良好。（20分）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2、工程施工安装符合标准、技术规范，工艺美观。（10分）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3、环境保护技术措施有效、可行。（10分）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4、经济技术指标可靠性较高（性能指标不低于设计或合同约定值——第三方出具检测报告），达到设备可靠、运行可靠。（10分）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工程建设合规性证明文件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施工方提供施工合同及中标通知书（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b w:val="0"/>
                <w:bCs w:val="0"/>
                <w:color w:val="000000" w:themeColor="text1"/>
                <w:kern w:val="2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竣工验收、竣工财务决算报告（5分）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业主方则需提供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工程合规性证明文件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2分，最高不超过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  <w:p>
            <w:p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“评选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办法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中第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六条第4项（合规性证明文件）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工程获奖情况（含专利、工法、省级行业协会及以上科技进步奖、电力创新成果、质量管理小组活动成果等）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项目部获得建设单位、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项目所在地县级以上政府部门及市、省级协会颁发的各类综合奖励，每项加10分；最高不超过20分（含专利、工法、科技进步奖、电力创新成果、质量管理小组活动成果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竣工保修管理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竣工总结内容完整、全面（含经营管理、技术管理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项目实施过程的各种不足的分析及改进方向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等），形成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项目管理总结成果并归档，获基础分5分；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保修期内未出现质量安全问题，加5分；提供竣工验收报告、施工方案等证明材料、每项加5分；最高不超过20分。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38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43B26"/>
    <w:multiLevelType w:val="singleLevel"/>
    <w:tmpl w:val="94643B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  <w:docVar w:name="KSO_WPS_MARK_KEY" w:val="8bdc30cf-cd59-401d-b3a2-8de35befdd07"/>
  </w:docVars>
  <w:rsids>
    <w:rsidRoot w:val="68150D22"/>
    <w:rsid w:val="009C3662"/>
    <w:rsid w:val="0111290B"/>
    <w:rsid w:val="016765BA"/>
    <w:rsid w:val="01B92F27"/>
    <w:rsid w:val="01D43019"/>
    <w:rsid w:val="02B837D3"/>
    <w:rsid w:val="032876CF"/>
    <w:rsid w:val="03954BBB"/>
    <w:rsid w:val="04847BA4"/>
    <w:rsid w:val="04E96A6C"/>
    <w:rsid w:val="05CC390C"/>
    <w:rsid w:val="064416AA"/>
    <w:rsid w:val="077D1FE8"/>
    <w:rsid w:val="0820624E"/>
    <w:rsid w:val="096D481B"/>
    <w:rsid w:val="0B7B4B89"/>
    <w:rsid w:val="0CFE2648"/>
    <w:rsid w:val="0E8D244C"/>
    <w:rsid w:val="0F036DE1"/>
    <w:rsid w:val="0F957AA6"/>
    <w:rsid w:val="10AF78D2"/>
    <w:rsid w:val="10B44D7F"/>
    <w:rsid w:val="11D61604"/>
    <w:rsid w:val="11ED6535"/>
    <w:rsid w:val="121E5A36"/>
    <w:rsid w:val="12C618CA"/>
    <w:rsid w:val="14572C3F"/>
    <w:rsid w:val="16EC3B9C"/>
    <w:rsid w:val="190B21D4"/>
    <w:rsid w:val="1C655C22"/>
    <w:rsid w:val="1D4405AA"/>
    <w:rsid w:val="1DD31A0B"/>
    <w:rsid w:val="1DDF4DA2"/>
    <w:rsid w:val="1E7F1D10"/>
    <w:rsid w:val="206856CE"/>
    <w:rsid w:val="20715FEE"/>
    <w:rsid w:val="20E7191A"/>
    <w:rsid w:val="22537188"/>
    <w:rsid w:val="24857BDD"/>
    <w:rsid w:val="24951E45"/>
    <w:rsid w:val="24FE6792"/>
    <w:rsid w:val="26771EA4"/>
    <w:rsid w:val="26E07A3A"/>
    <w:rsid w:val="297360F9"/>
    <w:rsid w:val="2CAF6281"/>
    <w:rsid w:val="2FC94089"/>
    <w:rsid w:val="303660BE"/>
    <w:rsid w:val="31374F07"/>
    <w:rsid w:val="31480BFE"/>
    <w:rsid w:val="31CD10CD"/>
    <w:rsid w:val="31EF1076"/>
    <w:rsid w:val="32BD73BC"/>
    <w:rsid w:val="32D22E6F"/>
    <w:rsid w:val="336B7953"/>
    <w:rsid w:val="33AA670F"/>
    <w:rsid w:val="33C577CD"/>
    <w:rsid w:val="33E471E8"/>
    <w:rsid w:val="34642D7F"/>
    <w:rsid w:val="35190FFC"/>
    <w:rsid w:val="35A1194F"/>
    <w:rsid w:val="369B4128"/>
    <w:rsid w:val="36BD7A47"/>
    <w:rsid w:val="37985E93"/>
    <w:rsid w:val="37CE22F9"/>
    <w:rsid w:val="3AB20D72"/>
    <w:rsid w:val="3DF52E71"/>
    <w:rsid w:val="3E0918F8"/>
    <w:rsid w:val="3EA35826"/>
    <w:rsid w:val="3EBE72EB"/>
    <w:rsid w:val="3F155066"/>
    <w:rsid w:val="3FB20131"/>
    <w:rsid w:val="3FD72DED"/>
    <w:rsid w:val="406C6FA2"/>
    <w:rsid w:val="429A3E68"/>
    <w:rsid w:val="42BF315B"/>
    <w:rsid w:val="44A2455B"/>
    <w:rsid w:val="45AC2F7B"/>
    <w:rsid w:val="46AB70BB"/>
    <w:rsid w:val="471E367B"/>
    <w:rsid w:val="4728239D"/>
    <w:rsid w:val="47437AF3"/>
    <w:rsid w:val="47451645"/>
    <w:rsid w:val="4A3552C3"/>
    <w:rsid w:val="4B6463CF"/>
    <w:rsid w:val="4BD028BE"/>
    <w:rsid w:val="4BD30EBA"/>
    <w:rsid w:val="4CB24B4C"/>
    <w:rsid w:val="4CE361AF"/>
    <w:rsid w:val="4E331EC6"/>
    <w:rsid w:val="4F2D6EAA"/>
    <w:rsid w:val="502018EC"/>
    <w:rsid w:val="50FF665D"/>
    <w:rsid w:val="512E4EF8"/>
    <w:rsid w:val="522626BD"/>
    <w:rsid w:val="5265327D"/>
    <w:rsid w:val="528D0CF6"/>
    <w:rsid w:val="52E02E71"/>
    <w:rsid w:val="550F3276"/>
    <w:rsid w:val="554968D3"/>
    <w:rsid w:val="55872335"/>
    <w:rsid w:val="58511B64"/>
    <w:rsid w:val="58A77B72"/>
    <w:rsid w:val="58C168E5"/>
    <w:rsid w:val="5B184F17"/>
    <w:rsid w:val="5B81338F"/>
    <w:rsid w:val="5D4A048E"/>
    <w:rsid w:val="5D8C7A31"/>
    <w:rsid w:val="5DA33F20"/>
    <w:rsid w:val="5EF5695E"/>
    <w:rsid w:val="5EF61A35"/>
    <w:rsid w:val="5F15731E"/>
    <w:rsid w:val="5F301D80"/>
    <w:rsid w:val="610101C5"/>
    <w:rsid w:val="612C2F7E"/>
    <w:rsid w:val="63390E70"/>
    <w:rsid w:val="63626CDE"/>
    <w:rsid w:val="63893D75"/>
    <w:rsid w:val="64062965"/>
    <w:rsid w:val="64F11ACA"/>
    <w:rsid w:val="65DC1C27"/>
    <w:rsid w:val="66476357"/>
    <w:rsid w:val="66A12988"/>
    <w:rsid w:val="67340193"/>
    <w:rsid w:val="67CB6766"/>
    <w:rsid w:val="68150D22"/>
    <w:rsid w:val="69462B63"/>
    <w:rsid w:val="696F24F1"/>
    <w:rsid w:val="697B016E"/>
    <w:rsid w:val="69BB0A39"/>
    <w:rsid w:val="6CED5DD7"/>
    <w:rsid w:val="6E657281"/>
    <w:rsid w:val="6EA45A0E"/>
    <w:rsid w:val="6FE253D4"/>
    <w:rsid w:val="70921626"/>
    <w:rsid w:val="70D2535A"/>
    <w:rsid w:val="732F2196"/>
    <w:rsid w:val="75451D57"/>
    <w:rsid w:val="7683474B"/>
    <w:rsid w:val="76E37117"/>
    <w:rsid w:val="776F0556"/>
    <w:rsid w:val="788C135B"/>
    <w:rsid w:val="788E4915"/>
    <w:rsid w:val="7A4656FC"/>
    <w:rsid w:val="7C3F304D"/>
    <w:rsid w:val="7C4C618A"/>
    <w:rsid w:val="7CF51B85"/>
    <w:rsid w:val="7DB36601"/>
    <w:rsid w:val="7E441DEE"/>
    <w:rsid w:val="7EF33E90"/>
    <w:rsid w:val="7FE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5916</Words>
  <Characters>6092</Characters>
  <Lines>0</Lines>
  <Paragraphs>0</Paragraphs>
  <TotalTime>3</TotalTime>
  <ScaleCrop>false</ScaleCrop>
  <LinksUpToDate>false</LinksUpToDate>
  <CharactersWithSpaces>6753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2021-03-25T00:50:00Z</dcterms:created>
  <dc:creator>YANG</dc:creator>
  <cp:lastModifiedBy>杨洋</cp:lastModifiedBy>
  <cp:lastPrinted>2024-01-25T02:54:37Z</cp:lastPrinted>
  <dcterms:modified xsi:type="dcterms:W3CDTF">2024-01-25T02:54:54Z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3E83FA3747EF4A0A9B39BF4D16417151</vt:lpwstr>
  </property>
</Properties>
</file>