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</w:rPr>
      </w:pPr>
    </w:p>
    <w:p>
      <w:pPr>
        <w:tabs>
          <w:tab w:val="left" w:pos="0"/>
        </w:tabs>
        <w:ind w:right="306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电力创新奖项目申报书</w:t>
      </w:r>
    </w:p>
    <w:p>
      <w:pPr>
        <w:tabs>
          <w:tab w:val="left" w:pos="0"/>
        </w:tabs>
        <w:ind w:right="306"/>
        <w:jc w:val="center"/>
        <w:rPr>
          <w:rFonts w:hint="eastAsia" w:asci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职工技术创新类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3"/>
        <w:tblW w:w="96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800"/>
        <w:gridCol w:w="900"/>
        <w:gridCol w:w="1596"/>
        <w:gridCol w:w="92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所属集团</w:t>
            </w:r>
          </w:p>
        </w:tc>
        <w:tc>
          <w:tcPr>
            <w:tcW w:w="789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555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89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电网：输电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变电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 配电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用电□   调度□  电网其他□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电源：（一）火电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锅炉□  汽机□  电气一次□  电气二次□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54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热工□   燃料□   环化□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风电□  （三）水电□  （四）核电□  （五）光伏□  （六）电源其他□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其他完成人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36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9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（限300字，从“根本解决问题、基本解决问题、部分解决问题”三个层次来归纳效果并说明）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六、应用、推荐单位意见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222" w:firstLineChars="2300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900" w:right="0" w:hanging="7222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before="88"/>
        <w:ind w:right="187"/>
        <w:jc w:val="both"/>
        <w:sectPr>
          <w:footerReference r:id="rId3" w:type="default"/>
          <w:pgSz w:w="11907" w:h="16840"/>
          <w:pgMar w:top="1247" w:right="1247" w:bottom="1247" w:left="1247" w:header="720" w:footer="720" w:gutter="0"/>
          <w:pgNumType w:fmt="numberInDash" w:start="1"/>
          <w:cols w:space="720" w:num="1"/>
          <w:docGrid w:type="linesAndChars" w:linePitch="398" w:charSpace="2891"/>
        </w:sectPr>
      </w:pPr>
      <w:r>
        <w:rPr>
          <w:rFonts w:hint="eastAsia"/>
          <w:sz w:val="28"/>
          <w:szCs w:val="28"/>
        </w:rPr>
        <w:t>（注：原则上申报项目要同时具有应用单位和推荐单位的意见，不能同时具备的必须有应用单位的意见。）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6F87"/>
    <w:rsid w:val="19C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2022-01-06T06:32:00Z</dcterms:created>
  <dc:creator>糊糊</dc:creator>
  <cp:lastModifiedBy>糊糊</cp:lastModifiedBy>
  <dcterms:modified xsi:type="dcterms:W3CDTF">2022-01-06T06:33:27Z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E0CA8ACE8A95461EB719303D516F171D</vt:lpwstr>
  </property>
</Properties>
</file>