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宋体" w:hAnsi="宋体"/>
          <w:sz w:val="72"/>
          <w:szCs w:val="72"/>
          <w:lang w:eastAsia="zh-CN"/>
        </w:rPr>
      </w:pPr>
    </w:p>
    <w:p>
      <w:pPr>
        <w:spacing w:line="1200" w:lineRule="exact"/>
        <w:jc w:val="center"/>
        <w:rPr>
          <w:rFonts w:hint="eastAsia" w:ascii="宋体" w:hAnsi="宋体" w:eastAsia="宋体"/>
          <w:sz w:val="72"/>
          <w:szCs w:val="72"/>
          <w:lang w:eastAsia="zh-CN"/>
        </w:rPr>
      </w:pPr>
      <w:r>
        <w:rPr>
          <w:rFonts w:hint="eastAsia" w:ascii="宋体" w:hAnsi="宋体"/>
          <w:sz w:val="72"/>
          <w:szCs w:val="72"/>
          <w:lang w:eastAsia="zh-CN"/>
        </w:rPr>
        <w:t>安徽省电力建设双百企业</w:t>
      </w:r>
    </w:p>
    <w:p>
      <w:pPr>
        <w:spacing w:line="1200" w:lineRule="exact"/>
        <w:jc w:val="center"/>
        <w:rPr>
          <w:rFonts w:hint="eastAsia" w:ascii="宋体" w:hAnsi="宋体" w:eastAsia="宋体"/>
          <w:sz w:val="72"/>
          <w:szCs w:val="72"/>
          <w:lang w:eastAsia="zh-CN"/>
        </w:rPr>
      </w:pPr>
      <w:r>
        <w:rPr>
          <w:rFonts w:hint="eastAsia" w:ascii="宋体" w:hAnsi="宋体"/>
          <w:sz w:val="72"/>
          <w:szCs w:val="72"/>
        </w:rPr>
        <w:t>申报</w:t>
      </w:r>
      <w:r>
        <w:rPr>
          <w:rFonts w:hint="eastAsia" w:ascii="宋体" w:hAnsi="宋体"/>
          <w:sz w:val="72"/>
          <w:szCs w:val="72"/>
          <w:lang w:eastAsia="zh-CN"/>
        </w:rPr>
        <w:t>表</w:t>
      </w:r>
    </w:p>
    <w:p>
      <w:pPr>
        <w:spacing w:line="12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ind w:firstLine="1760" w:firstLineChars="55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申报单位（公章）：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</w:t>
      </w:r>
    </w:p>
    <w:p>
      <w:pPr>
        <w:tabs>
          <w:tab w:val="left" w:pos="8355"/>
        </w:tabs>
        <w:ind w:firstLine="1760" w:firstLineChars="5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申报日期：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安徽省电力协会</w:t>
      </w:r>
      <w:r>
        <w:rPr>
          <w:rFonts w:hint="eastAsia" w:ascii="宋体" w:hAnsi="宋体"/>
          <w:sz w:val="32"/>
          <w:szCs w:val="32"/>
        </w:rPr>
        <w:t>编制</w:t>
      </w:r>
    </w:p>
    <w:p>
      <w:pPr>
        <w:spacing w:line="64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（20</w:t>
      </w:r>
      <w:r>
        <w:rPr>
          <w:rFonts w:hint="eastAsia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</w:rPr>
        <w:t>版）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申报</w:t>
      </w:r>
      <w:r>
        <w:rPr>
          <w:rFonts w:hint="eastAsia"/>
          <w:sz w:val="44"/>
          <w:szCs w:val="44"/>
        </w:rPr>
        <w:t>承诺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本单位自愿申请参加由</w:t>
      </w:r>
      <w:r>
        <w:rPr>
          <w:rFonts w:hint="eastAsia" w:ascii="仿宋_GB2312" w:eastAsia="仿宋_GB2312"/>
          <w:sz w:val="32"/>
          <w:szCs w:val="32"/>
          <w:lang w:eastAsia="zh-CN"/>
        </w:rPr>
        <w:t>安徽省电力协会</w:t>
      </w:r>
      <w:r>
        <w:rPr>
          <w:rFonts w:hint="eastAsia" w:ascii="仿宋_GB2312" w:eastAsia="仿宋_GB2312"/>
          <w:sz w:val="32"/>
          <w:szCs w:val="32"/>
        </w:rPr>
        <w:t>组织的</w:t>
      </w:r>
      <w:r>
        <w:rPr>
          <w:rFonts w:hint="eastAsia" w:ascii="仿宋_GB2312" w:eastAsia="仿宋_GB2312"/>
          <w:sz w:val="32"/>
          <w:szCs w:val="32"/>
          <w:lang w:eastAsia="zh-CN"/>
        </w:rPr>
        <w:t>安徽省电力建设双百企业申报</w:t>
      </w:r>
      <w:r>
        <w:rPr>
          <w:rFonts w:hint="eastAsia" w:ascii="仿宋_GB2312" w:eastAsia="仿宋_GB2312"/>
          <w:sz w:val="32"/>
          <w:szCs w:val="32"/>
        </w:rPr>
        <w:t>工作，并承诺所提交的申报材料真实、合法、有效。同意在国家法律法规范围内公示企业信用信息。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无重大投诉并被媒体曝光事件；未出现重大安全事故；未出现环境污染事故和投诉情况；无不服从相关政府部门管理或行业协会协调的行为；无低价竞争、虚假合同、扰乱市场经济秩序的行为；无超范围经营行为；无故意拖欠行为；无超标准收费行为；无侵犯员工劳动利益行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本单位未发生危害公共安全、影响社会稳定的事件。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本单位将继续诚信经营，保证产品质量、履行社会责任。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授权代表：</w:t>
      </w:r>
    </w:p>
    <w:p>
      <w:pPr>
        <w:ind w:firstLine="3680" w:firstLineChars="1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单位盖章：</w:t>
      </w:r>
    </w:p>
    <w:p>
      <w:pPr>
        <w:ind w:firstLine="3680" w:firstLineChars="1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    期：    年   月   日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70" w:lineRule="exac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spacing w:line="570" w:lineRule="exac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spacing w:line="570" w:lineRule="exac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/>
          <w:kern w:val="0"/>
          <w:szCs w:val="21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填表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说明：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申报企业名称填写全称；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企业性质填写“非公企业”或“公有企业”；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主营业务、资质等级按照企业营业执照及现有资质；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安全、质量、环保及社会影响事件由企业所属部门填写意见及签章；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资产负债率=（总资产－净资产）/总资产×100%；（或负债合计/资产总计×100%）；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应收账款周转率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营业收入/（年初末平均应收账款+年初末应收票据）；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营业利润率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营业利润/营业收入×100%；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营业收入增长率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（本年营业收入-上年营业收入）/上年营业收入×100%；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净资产收益率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净利润/年初末平均所有者权益合计×100%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总资产报酬率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：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（利润总额+列入财务费用的利息支出）/年初末平均资产总计×100%；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社会贡献率=企业社会贡献总额/平均资产总额×100%；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创新成果为企业近三年获得获得省部级（包括省、部、行业、集团公司）管理创新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、科技创新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成果奖励；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企业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从业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人数为企业在册缴纳社保人数；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电力行业信用评级为企业获得的中电联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信用办颁发的电力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信用等级及初评（复评）时间；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税务纳税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最高</w:t>
      </w:r>
      <w:r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  <w:t>等级为年度企业注册地税务部门评级等级；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b/>
          <w:bCs/>
          <w:sz w:val="24"/>
          <w:szCs w:val="24"/>
        </w:rPr>
        <w:t>注：企业社会贡献总额：包括工资（含奖金、津贴等工资性收入）、劳保退休统筹及其他社会福利支出、利息支出净额、应交增值税、应交产品销售税金及附加、应交所得税、其他税收、净利润等。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安徽省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电力建设“双百”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企业申报表</w:t>
      </w:r>
    </w:p>
    <w:tbl>
      <w:tblPr>
        <w:tblStyle w:val="2"/>
        <w:tblW w:w="985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650"/>
        <w:gridCol w:w="1515"/>
        <w:gridCol w:w="1335"/>
        <w:gridCol w:w="1609"/>
        <w:gridCol w:w="29"/>
        <w:gridCol w:w="1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申报企业名称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企业性质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 讯 地 址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主营业务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资质等级</w:t>
            </w:r>
          </w:p>
        </w:tc>
        <w:tc>
          <w:tcPr>
            <w:tcW w:w="7920" w:type="dxa"/>
            <w:gridSpan w:val="6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9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3165" w:type="dxa"/>
            <w:gridSpan w:val="2"/>
            <w:vMerge w:val="restart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法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代表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93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3165" w:type="dxa"/>
            <w:gridSpan w:val="2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9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  系  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935" w:type="dxa"/>
            <w:vMerge w:val="continue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985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安全部门确认意见：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（近三年内未发生较大及以上安全事故证明）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签章：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月   日</w:t>
            </w:r>
          </w:p>
          <w:p>
            <w:pPr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</w:trPr>
        <w:tc>
          <w:tcPr>
            <w:tcW w:w="985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质量部门确认意见：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（近三年内未发生较大及以上质量事故证明）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签章：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ind w:firstLine="6000" w:firstLineChars="25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月   日</w:t>
            </w:r>
          </w:p>
          <w:p>
            <w:pPr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985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企业意见：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（近三年内未发生重大环保及社会影响事件证明）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签 章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985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安徽省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电力协会意见：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签 章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000" w:firstLineChars="2500"/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月  日</w:t>
            </w:r>
          </w:p>
        </w:tc>
      </w:tr>
    </w:tbl>
    <w:p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主要经营管理指标</w:t>
      </w:r>
    </w:p>
    <w:p>
      <w:pPr>
        <w:jc w:val="center"/>
        <w:rPr>
          <w:rFonts w:ascii="宋体" w:hAnsi="宋体"/>
          <w:b/>
          <w:kern w:val="0"/>
          <w:sz w:val="36"/>
          <w:szCs w:val="36"/>
        </w:rPr>
      </w:pPr>
    </w:p>
    <w:tbl>
      <w:tblPr>
        <w:tblStyle w:val="2"/>
        <w:tblW w:w="985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95"/>
        <w:gridCol w:w="750"/>
        <w:gridCol w:w="922"/>
        <w:gridCol w:w="668"/>
        <w:gridCol w:w="1530"/>
        <w:gridCol w:w="148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2018年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2019年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2020年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营业收入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合同总额（涉电业务）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万元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合同总额（非电业务）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万元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利润总额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总资产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万元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纳税总额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万元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资产负债率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应收账款周转率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营业利润率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营业收入增长率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净资产收益率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总资产报酬率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社会贡献率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创新成果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企业从业人数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人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电力行业信用评级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税务纳税最高等级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6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Times New Roman"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4927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申报企业财务负责人意见：（签章）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/>
                <w:bCs/>
                <w:kern w:val="0"/>
                <w:sz w:val="21"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4928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eastAsia="zh-CN"/>
              </w:rPr>
              <w:t>申报企业负责人意见：（签章）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1"/>
                <w:szCs w:val="21"/>
                <w:lang w:val="en-US" w:eastAsia="zh-CN"/>
              </w:rPr>
              <w:t xml:space="preserve">  月  日 </w:t>
            </w:r>
          </w:p>
        </w:tc>
      </w:tr>
    </w:tbl>
    <w:p>
      <w:pPr>
        <w:spacing w:line="570" w:lineRule="exac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spacing w:line="570" w:lineRule="exac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spacing w:line="570" w:lineRule="exact"/>
        <w:rPr>
          <w:rFonts w:hint="eastAsia" w:ascii="仿宋_GB2312" w:eastAsia="仿宋_GB2312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75637"/>
    <w:multiLevelType w:val="singleLevel"/>
    <w:tmpl w:val="F63756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C7CD8"/>
    <w:rsid w:val="01B744C5"/>
    <w:rsid w:val="072348D1"/>
    <w:rsid w:val="0BD86C18"/>
    <w:rsid w:val="0D416E00"/>
    <w:rsid w:val="14C05C70"/>
    <w:rsid w:val="17425C86"/>
    <w:rsid w:val="1750669C"/>
    <w:rsid w:val="1BC16510"/>
    <w:rsid w:val="1ECD6965"/>
    <w:rsid w:val="26FC129B"/>
    <w:rsid w:val="2D7A5BF2"/>
    <w:rsid w:val="38A610A3"/>
    <w:rsid w:val="3E2454DC"/>
    <w:rsid w:val="431C3396"/>
    <w:rsid w:val="4A2A7AE0"/>
    <w:rsid w:val="57253CAB"/>
    <w:rsid w:val="5A70054C"/>
    <w:rsid w:val="5D223C48"/>
    <w:rsid w:val="5D505AF1"/>
    <w:rsid w:val="5EE744A0"/>
    <w:rsid w:val="66706694"/>
    <w:rsid w:val="66EC7CD8"/>
    <w:rsid w:val="6953279F"/>
    <w:rsid w:val="76B82527"/>
    <w:rsid w:val="782F40B5"/>
    <w:rsid w:val="78E3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2021-09-07T03:11:00Z</dcterms:created>
  <dc:creator>lenovo</dc:creator>
  <cp:lastModifiedBy>lenovo</cp:lastModifiedBy>
  <cp:lastPrinted>2021-09-08T01:48:42Z</cp:lastPrinted>
  <dcterms:modified xsi:type="dcterms:W3CDTF">2021-09-08T02:33:36Z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0508F32868C34558A723456746E85094</vt:lpwstr>
  </property>
</Properties>
</file>