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00" w:lineRule="exact"/>
        <w:rPr>
          <w:rFonts w:hint="eastAsia" w:ascii="宋体" w:hAnsi="宋体" w:eastAsia="宋体"/>
        </w:rPr>
      </w:pPr>
      <w:bookmarkStart w:id="98" w:name="_GoBack"/>
      <w:bookmarkEnd w:id="98"/>
      <w:r>
        <w:rPr>
          <w:rFonts w:hint="eastAsia" w:ascii="宋体" w:hAnsi="宋体" w:eastAsia="宋体"/>
          <w:szCs w:val="36"/>
        </w:rPr>
        <w:t>招标需求</w:t>
      </w:r>
    </w:p>
    <w:p>
      <w:pPr>
        <w:rPr>
          <w:rFonts w:hint="eastAsia" w:ascii="宋体" w:hAnsi="宋体"/>
          <w:sz w:val="24"/>
          <w:szCs w:val="28"/>
        </w:rPr>
      </w:pPr>
      <w:bookmarkStart w:id="0" w:name="_Hlt509716920"/>
      <w:bookmarkEnd w:id="0"/>
      <w:r>
        <w:rPr>
          <w:rFonts w:hint="eastAsia" w:ascii="宋体" w:hAnsi="宋体"/>
          <w:sz w:val="24"/>
          <w:szCs w:val="28"/>
        </w:rPr>
        <w:t>前注：</w:t>
      </w:r>
    </w:p>
    <w:p>
      <w:pPr>
        <w:rPr>
          <w:rFonts w:hint="eastAsia" w:ascii="宋体" w:hAnsi="宋体"/>
          <w:b/>
          <w:sz w:val="24"/>
          <w:szCs w:val="24"/>
          <w:u w:val="single"/>
        </w:rPr>
      </w:pPr>
      <w:r>
        <w:rPr>
          <w:rFonts w:hint="eastAsia" w:ascii="宋体" w:hAnsi="宋体"/>
          <w:sz w:val="24"/>
          <w:szCs w:val="28"/>
        </w:rPr>
        <w:t>1</w:t>
      </w:r>
      <w:r>
        <w:rPr>
          <w:rFonts w:hint="eastAsia" w:ascii="宋体" w:hAnsi="宋体"/>
          <w:sz w:val="24"/>
          <w:szCs w:val="28"/>
          <w:lang w:eastAsia="zh-CN"/>
        </w:rPr>
        <w:t>、</w:t>
      </w:r>
      <w:r>
        <w:rPr>
          <w:rFonts w:hint="eastAsia" w:ascii="宋体" w:hAnsi="宋体"/>
          <w:sz w:val="24"/>
          <w:szCs w:val="28"/>
        </w:rPr>
        <w:t>本需求中提出的技术方案仅为参考，如无明确限制，投标人可以进行优化，提供满足用户实际需要的更优（或者性能实质上不低于的）</w:t>
      </w:r>
      <w:r>
        <w:rPr>
          <w:rFonts w:hint="eastAsia" w:ascii="宋体" w:hAnsi="宋体"/>
          <w:sz w:val="24"/>
          <w:szCs w:val="24"/>
        </w:rPr>
        <w:t>技术方案或者设备配置，且此方案或配置须经评标委员会审核认可；</w:t>
      </w:r>
      <w:r>
        <w:rPr>
          <w:rFonts w:hint="eastAsia" w:ascii="宋体" w:hAnsi="宋体"/>
          <w:sz w:val="24"/>
          <w:szCs w:val="24"/>
        </w:rPr>
        <w:cr/>
      </w:r>
      <w:r>
        <w:rPr>
          <w:rFonts w:hint="eastAsia" w:ascii="宋体" w:hAnsi="宋体"/>
          <w:sz w:val="24"/>
          <w:szCs w:val="24"/>
        </w:rPr>
        <w:t>2、为鼓励不同品牌的充分竞争，如某设备的某技术参数或要求属于个别品牌专有，则该技术参数及要求不具有限制性，投标人可对该参数或要求进行适当调整，并应当说明调整的理由，且此调整须经评标委员会审核认可；</w:t>
      </w:r>
    </w:p>
    <w:p>
      <w:pPr>
        <w:rPr>
          <w:rFonts w:hint="eastAsia" w:ascii="宋体" w:hAnsi="宋体"/>
          <w:sz w:val="24"/>
          <w:szCs w:val="28"/>
        </w:rPr>
      </w:pPr>
      <w:r>
        <w:rPr>
          <w:rFonts w:hint="eastAsia" w:ascii="宋体" w:hAnsi="宋体"/>
          <w:sz w:val="24"/>
          <w:szCs w:val="28"/>
        </w:rPr>
        <w:t>3、为有助于投标人选择投标产品，项目需求中提供了推荐品牌（或型号）、参考品牌（或型号）等，但这些品牌（或型号）仅供参考，并无限制性。投标人可以选择性能不低于推荐（或参考）的品牌（或型号）的其他品牌产品，但投标时应当提供有关厂商的技术证明资料，未提供的可能导致投标无效；</w:t>
      </w:r>
      <w:r>
        <w:rPr>
          <w:rFonts w:hint="eastAsia" w:ascii="宋体" w:hAnsi="宋体"/>
          <w:sz w:val="24"/>
          <w:szCs w:val="28"/>
        </w:rPr>
        <w:cr/>
      </w:r>
      <w:r>
        <w:rPr>
          <w:rFonts w:hint="eastAsia" w:ascii="宋体" w:hAnsi="宋体"/>
          <w:sz w:val="24"/>
          <w:szCs w:val="28"/>
        </w:rPr>
        <w:t>4、投标人应当在投标文件中列出完成本项目并通过验收所需的所有各项服务等明细表及全部费用。中标人必须确保整体通过用户方及有关主管部门验收,所发生的验收费用由中标人承担；投标人应自行踏勘施工建设现场，如投标人因未及时踏勘现场而导致的报价缺项漏项废标、或中标后无法完工，投标人自行承担一切后果；</w:t>
      </w:r>
    </w:p>
    <w:p>
      <w:pPr>
        <w:rPr>
          <w:rFonts w:hint="eastAsia" w:ascii="宋体" w:hAnsi="宋体"/>
          <w:b/>
          <w:sz w:val="24"/>
          <w:szCs w:val="28"/>
        </w:rPr>
      </w:pPr>
      <w:r>
        <w:rPr>
          <w:rFonts w:hint="eastAsia" w:ascii="宋体" w:hAnsi="宋体"/>
          <w:sz w:val="24"/>
          <w:szCs w:val="24"/>
        </w:rPr>
        <w:t>5、如对本招标文件有任何疑问或澄清要求，请按本招标文件“</w:t>
      </w:r>
      <w:r>
        <w:rPr>
          <w:rFonts w:hint="eastAsia" w:ascii="宋体" w:hAnsi="宋体"/>
          <w:sz w:val="24"/>
          <w:szCs w:val="24"/>
          <w:lang w:eastAsia="zh-CN"/>
        </w:rPr>
        <w:t>投标人</w:t>
      </w:r>
      <w:r>
        <w:rPr>
          <w:rFonts w:hint="eastAsia" w:ascii="宋体" w:hAnsi="宋体"/>
          <w:sz w:val="24"/>
          <w:szCs w:val="24"/>
        </w:rPr>
        <w:t>须知前附表”中约定方式联系</w:t>
      </w:r>
      <w:r>
        <w:rPr>
          <w:rFonts w:hint="eastAsia" w:ascii="宋体" w:hAnsi="宋体"/>
          <w:sz w:val="24"/>
          <w:szCs w:val="24"/>
          <w:lang w:eastAsia="zh-CN"/>
        </w:rPr>
        <w:t>安徽华顺工程建设咨询有限公司</w:t>
      </w:r>
      <w:r>
        <w:rPr>
          <w:rFonts w:hint="eastAsia" w:ascii="宋体" w:hAnsi="宋体"/>
          <w:sz w:val="24"/>
          <w:szCs w:val="24"/>
        </w:rPr>
        <w:t>，或接受答疑截止时间前联系</w:t>
      </w:r>
      <w:r>
        <w:rPr>
          <w:rFonts w:hint="eastAsia" w:ascii="宋体" w:hAnsi="宋体"/>
          <w:sz w:val="24"/>
          <w:szCs w:val="24"/>
          <w:lang w:eastAsia="zh-CN"/>
        </w:rPr>
        <w:t>招标人</w:t>
      </w:r>
      <w:r>
        <w:rPr>
          <w:rFonts w:hint="eastAsia" w:ascii="宋体" w:hAnsi="宋体"/>
          <w:sz w:val="24"/>
          <w:szCs w:val="24"/>
        </w:rPr>
        <w:t>，否则视同理解和接受，开标后</w:t>
      </w:r>
      <w:r>
        <w:rPr>
          <w:rFonts w:hint="eastAsia" w:ascii="宋体" w:hAnsi="宋体"/>
          <w:sz w:val="24"/>
          <w:szCs w:val="24"/>
          <w:lang w:eastAsia="zh-CN"/>
        </w:rPr>
        <w:t>安徽华顺工程建设咨询有限公司</w:t>
      </w:r>
      <w:r>
        <w:rPr>
          <w:rFonts w:hint="eastAsia" w:ascii="宋体" w:hAnsi="宋体"/>
          <w:sz w:val="24"/>
          <w:szCs w:val="24"/>
        </w:rPr>
        <w:t>不再受理对招标文件条款提出的质疑；</w:t>
      </w:r>
    </w:p>
    <w:p>
      <w:pPr>
        <w:rPr>
          <w:rFonts w:hint="eastAsia" w:ascii="宋体" w:hAnsi="宋体"/>
          <w:b/>
          <w:sz w:val="24"/>
          <w:szCs w:val="28"/>
        </w:rPr>
      </w:pPr>
      <w:r>
        <w:rPr>
          <w:rFonts w:hint="eastAsia" w:ascii="宋体" w:hAnsi="宋体"/>
          <w:b/>
          <w:sz w:val="24"/>
          <w:szCs w:val="28"/>
        </w:rPr>
        <w:t>一、货物需求</w:t>
      </w:r>
    </w:p>
    <w:p>
      <w:pPr>
        <w:widowControl/>
        <w:jc w:val="left"/>
        <w:rPr>
          <w:rFonts w:hint="eastAsia" w:ascii="宋体" w:hAnsi="宋体" w:cs="宋体"/>
          <w:kern w:val="0"/>
          <w:sz w:val="24"/>
          <w:szCs w:val="24"/>
          <w:lang w:eastAsia="zh-CN"/>
        </w:rPr>
      </w:pPr>
      <w:r>
        <w:rPr>
          <w:rFonts w:hint="eastAsia" w:ascii="宋体" w:hAnsi="宋体" w:cs="宋体"/>
          <w:kern w:val="0"/>
          <w:sz w:val="24"/>
          <w:szCs w:val="24"/>
          <w:lang w:eastAsia="zh-CN"/>
        </w:rPr>
        <w:t>（一标段：庐江县博大电子10kv专用线路等工程水泥杆、电杆及地脚螺栓材料项目，项目概算：83.11万元）</w:t>
      </w:r>
    </w:p>
    <w:tbl>
      <w:tblPr>
        <w:tblStyle w:val="6"/>
        <w:tblW w:w="87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10"/>
        <w:gridCol w:w="1759"/>
        <w:gridCol w:w="2205"/>
        <w:gridCol w:w="705"/>
        <w:gridCol w:w="795"/>
        <w:gridCol w:w="2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7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物资名称</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规格型号</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2601"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根部法兰电杆</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470*15m（含地脚螺栓）</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w:t>
            </w:r>
          </w:p>
        </w:tc>
        <w:tc>
          <w:tcPr>
            <w:tcW w:w="795"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26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庐江县博大电子10KV专用线路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7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根部法兰电杆</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390*15m（含地脚螺栓）</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w:t>
            </w:r>
          </w:p>
        </w:tc>
        <w:tc>
          <w:tcPr>
            <w:tcW w:w="795"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26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8"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17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根部法兰电杆</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230*15m（含地脚螺栓）</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w:t>
            </w:r>
          </w:p>
        </w:tc>
        <w:tc>
          <w:tcPr>
            <w:tcW w:w="795"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22</w:t>
            </w:r>
          </w:p>
        </w:tc>
        <w:tc>
          <w:tcPr>
            <w:tcW w:w="26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17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根部法兰电杆</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390*13m（含地脚螺栓）</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w:t>
            </w:r>
          </w:p>
        </w:tc>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2601" w:type="dxa"/>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17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锥形水泥杆</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230*15m</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w:t>
            </w:r>
          </w:p>
        </w:tc>
        <w:tc>
          <w:tcPr>
            <w:tcW w:w="795"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w:t>
            </w:r>
          </w:p>
        </w:tc>
        <w:tc>
          <w:tcPr>
            <w:tcW w:w="26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17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根部法兰电杆</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230*12m（含地脚螺栓）</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w:t>
            </w:r>
          </w:p>
        </w:tc>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2601"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绣溪园500KVA公用变工程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w:t>
            </w:r>
          </w:p>
        </w:tc>
        <w:tc>
          <w:tcPr>
            <w:tcW w:w="17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根部法兰电杆</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390*15m（含地脚螺栓）</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w:t>
            </w:r>
          </w:p>
        </w:tc>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2601"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35KV庐三线改造工程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w:t>
            </w:r>
          </w:p>
        </w:tc>
        <w:tc>
          <w:tcPr>
            <w:tcW w:w="17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根部法兰电杆</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230*15m（含地脚螺栓）</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w:t>
            </w:r>
          </w:p>
        </w:tc>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2601"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9</w:t>
            </w:r>
          </w:p>
        </w:tc>
        <w:tc>
          <w:tcPr>
            <w:tcW w:w="17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根部法兰电杆</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390*15m（含地脚螺栓）</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w:t>
            </w:r>
          </w:p>
        </w:tc>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2601"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学府路（泥河西路-外环南路）电缆工程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10</w:t>
            </w:r>
          </w:p>
        </w:tc>
        <w:tc>
          <w:tcPr>
            <w:tcW w:w="17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锥形水泥杆</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190*15m</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w:t>
            </w:r>
          </w:p>
        </w:tc>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2601"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11</w:t>
            </w:r>
          </w:p>
        </w:tc>
        <w:tc>
          <w:tcPr>
            <w:tcW w:w="17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锥形水泥杆</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190*15m</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w:t>
            </w:r>
          </w:p>
        </w:tc>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2601"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庐江二中箱变工程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12</w:t>
            </w:r>
          </w:p>
        </w:tc>
        <w:tc>
          <w:tcPr>
            <w:tcW w:w="17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根部法兰电杆</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390*15m（含地脚螺栓）</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w:t>
            </w:r>
          </w:p>
        </w:tc>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2601"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城西光华路线路改造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13</w:t>
            </w:r>
          </w:p>
        </w:tc>
        <w:tc>
          <w:tcPr>
            <w:tcW w:w="17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根部法兰电杆</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350*13m（含地脚螺栓）</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w:t>
            </w:r>
          </w:p>
        </w:tc>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2601"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郭河北路临时改线工程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14</w:t>
            </w:r>
          </w:p>
        </w:tc>
        <w:tc>
          <w:tcPr>
            <w:tcW w:w="17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根部法兰电杆</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230*15m（含地脚螺栓）</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w:t>
            </w:r>
          </w:p>
        </w:tc>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2601"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乐桥35KV庐乐361线工程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15</w:t>
            </w:r>
          </w:p>
        </w:tc>
        <w:tc>
          <w:tcPr>
            <w:tcW w:w="17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锥形水泥杆</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Φ190*12m</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w:t>
            </w:r>
          </w:p>
        </w:tc>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w:t>
            </w:r>
          </w:p>
        </w:tc>
        <w:tc>
          <w:tcPr>
            <w:tcW w:w="2601"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庐江县北城区五里北路（周瑜大道-外环北路）</w:t>
            </w:r>
          </w:p>
        </w:tc>
      </w:tr>
    </w:tbl>
    <w:p>
      <w:pPr>
        <w:widowControl/>
        <w:jc w:val="left"/>
        <w:rPr>
          <w:rFonts w:hint="eastAsia"/>
          <w:lang w:eastAsia="zh-CN"/>
        </w:rPr>
      </w:pPr>
    </w:p>
    <w:p>
      <w:pPr>
        <w:widowControl/>
        <w:jc w:val="left"/>
        <w:rPr>
          <w:rFonts w:hint="eastAsia"/>
          <w:lang w:eastAsia="zh-CN"/>
        </w:rPr>
      </w:pPr>
    </w:p>
    <w:p>
      <w:pPr>
        <w:widowControl/>
        <w:jc w:val="left"/>
        <w:rPr>
          <w:rFonts w:hint="eastAsia"/>
          <w:lang w:eastAsia="zh-CN"/>
        </w:rPr>
      </w:pPr>
    </w:p>
    <w:p>
      <w:pPr>
        <w:widowControl/>
        <w:jc w:val="left"/>
        <w:rPr>
          <w:rFonts w:hint="eastAsia" w:ascii="宋体" w:hAnsi="宋体" w:cs="宋体"/>
          <w:kern w:val="0"/>
          <w:sz w:val="24"/>
          <w:szCs w:val="24"/>
          <w:lang w:eastAsia="zh-CN"/>
        </w:rPr>
      </w:pPr>
      <w:r>
        <w:rPr>
          <w:rFonts w:hint="eastAsia" w:ascii="宋体" w:hAnsi="宋体" w:cs="宋体"/>
          <w:kern w:val="0"/>
          <w:sz w:val="24"/>
          <w:szCs w:val="24"/>
          <w:lang w:eastAsia="zh-CN"/>
        </w:rPr>
        <w:t>（二标段：庐江县博大电子10kv专用线路等工程电缆材料项目，项目概算：539.81万元）</w:t>
      </w:r>
    </w:p>
    <w:tbl>
      <w:tblPr>
        <w:tblStyle w:val="6"/>
        <w:tblW w:w="87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10"/>
        <w:gridCol w:w="1759"/>
        <w:gridCol w:w="2205"/>
        <w:gridCol w:w="705"/>
        <w:gridCol w:w="795"/>
        <w:gridCol w:w="2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序号</w:t>
            </w:r>
          </w:p>
        </w:tc>
        <w:tc>
          <w:tcPr>
            <w:tcW w:w="17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物资名称</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规格型号</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单位</w:t>
            </w:r>
          </w:p>
        </w:tc>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数量</w:t>
            </w:r>
          </w:p>
        </w:tc>
        <w:tc>
          <w:tcPr>
            <w:tcW w:w="2601"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w:t>
            </w:r>
          </w:p>
        </w:tc>
        <w:tc>
          <w:tcPr>
            <w:tcW w:w="17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铜芯电缆</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YJV22-10KV-3*400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米</w:t>
            </w:r>
          </w:p>
        </w:tc>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3657</w:t>
            </w:r>
          </w:p>
        </w:tc>
        <w:tc>
          <w:tcPr>
            <w:tcW w:w="2601"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庐江县博大电子10KV专用线路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w:t>
            </w:r>
          </w:p>
        </w:tc>
        <w:tc>
          <w:tcPr>
            <w:tcW w:w="17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铜芯电缆</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YJV22-10KV-3*300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米</w:t>
            </w:r>
          </w:p>
        </w:tc>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96</w:t>
            </w:r>
          </w:p>
        </w:tc>
        <w:tc>
          <w:tcPr>
            <w:tcW w:w="2601"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庐江立翔电池科技有限责任公司10KV外接电源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3</w:t>
            </w:r>
          </w:p>
        </w:tc>
        <w:tc>
          <w:tcPr>
            <w:tcW w:w="17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铜芯电缆</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YJV22-10KV-3*400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米</w:t>
            </w:r>
          </w:p>
        </w:tc>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257</w:t>
            </w:r>
          </w:p>
        </w:tc>
        <w:tc>
          <w:tcPr>
            <w:tcW w:w="2601"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4</w:t>
            </w:r>
          </w:p>
        </w:tc>
        <w:tc>
          <w:tcPr>
            <w:tcW w:w="17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铜芯电缆</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YJV22-10KV-3*120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米</w:t>
            </w:r>
          </w:p>
        </w:tc>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180</w:t>
            </w:r>
          </w:p>
        </w:tc>
        <w:tc>
          <w:tcPr>
            <w:tcW w:w="2601"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城关小学惠民小区干式变安装工程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5</w:t>
            </w:r>
          </w:p>
        </w:tc>
        <w:tc>
          <w:tcPr>
            <w:tcW w:w="17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铜芯电缆</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YJV22-10KV-3*95</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米</w:t>
            </w:r>
          </w:p>
        </w:tc>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w:t>
            </w:r>
          </w:p>
        </w:tc>
        <w:tc>
          <w:tcPr>
            <w:tcW w:w="2601"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庐江二中箱变工程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6</w:t>
            </w:r>
          </w:p>
        </w:tc>
        <w:tc>
          <w:tcPr>
            <w:tcW w:w="17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铜芯电缆</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YJV22-10KV-3*400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米</w:t>
            </w:r>
          </w:p>
        </w:tc>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1810</w:t>
            </w:r>
          </w:p>
        </w:tc>
        <w:tc>
          <w:tcPr>
            <w:tcW w:w="2601"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学府路（泥河西路-外环南路）电缆工程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w:t>
            </w:r>
          </w:p>
        </w:tc>
        <w:tc>
          <w:tcPr>
            <w:tcW w:w="17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铜芯电缆</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YJV22-10KV-3*300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米</w:t>
            </w:r>
          </w:p>
        </w:tc>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400</w:t>
            </w:r>
          </w:p>
        </w:tc>
        <w:tc>
          <w:tcPr>
            <w:tcW w:w="2601"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kern w:val="0"/>
                <w:sz w:val="24"/>
                <w:szCs w:val="24"/>
                <w:u w:val="none"/>
                <w:lang w:val="en-US" w:eastAsia="zh-CN" w:bidi="ar"/>
              </w:rPr>
            </w:pPr>
          </w:p>
        </w:tc>
      </w:tr>
    </w:tbl>
    <w:p>
      <w:pPr>
        <w:jc w:val="left"/>
        <w:rPr>
          <w:rFonts w:hint="eastAsia"/>
          <w:lang w:eastAsia="zh-CN"/>
        </w:rPr>
      </w:pPr>
    </w:p>
    <w:p>
      <w:pPr>
        <w:jc w:val="left"/>
        <w:rPr>
          <w:rFonts w:hint="eastAsia"/>
          <w:lang w:eastAsia="zh-CN"/>
        </w:rPr>
      </w:pPr>
    </w:p>
    <w:p>
      <w:pPr>
        <w:widowControl/>
        <w:jc w:val="left"/>
        <w:rPr>
          <w:rFonts w:hint="eastAsia" w:ascii="宋体" w:hAnsi="宋体" w:cs="宋体"/>
          <w:kern w:val="0"/>
          <w:sz w:val="24"/>
          <w:szCs w:val="24"/>
          <w:lang w:eastAsia="zh-CN"/>
        </w:rPr>
      </w:pPr>
      <w:r>
        <w:rPr>
          <w:rFonts w:hint="eastAsia" w:ascii="宋体" w:hAnsi="宋体" w:cs="宋体"/>
          <w:kern w:val="0"/>
          <w:sz w:val="24"/>
          <w:szCs w:val="24"/>
          <w:lang w:eastAsia="zh-CN"/>
        </w:rPr>
        <w:t>（三标段：庐江县博大电子10kv专用线路等工程架空绝缘线材料项目，项目概算：65.16万元）</w:t>
      </w:r>
    </w:p>
    <w:tbl>
      <w:tblPr>
        <w:tblStyle w:val="6"/>
        <w:tblW w:w="87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10"/>
        <w:gridCol w:w="1759"/>
        <w:gridCol w:w="2205"/>
        <w:gridCol w:w="705"/>
        <w:gridCol w:w="795"/>
        <w:gridCol w:w="2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序号</w:t>
            </w:r>
          </w:p>
        </w:tc>
        <w:tc>
          <w:tcPr>
            <w:tcW w:w="17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物资名称</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规格型号</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单位</w:t>
            </w:r>
          </w:p>
        </w:tc>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数量</w:t>
            </w:r>
          </w:p>
        </w:tc>
        <w:tc>
          <w:tcPr>
            <w:tcW w:w="2601"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w:t>
            </w:r>
          </w:p>
        </w:tc>
        <w:tc>
          <w:tcPr>
            <w:tcW w:w="17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钢芯架空绝缘线</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JKLGYJ-10KV-240/30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米</w:t>
            </w:r>
          </w:p>
        </w:tc>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27150</w:t>
            </w:r>
          </w:p>
        </w:tc>
        <w:tc>
          <w:tcPr>
            <w:tcW w:w="2601"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庐江县博大电子10KV专用线路</w:t>
            </w:r>
          </w:p>
        </w:tc>
      </w:tr>
    </w:tbl>
    <w:p>
      <w:pPr>
        <w:widowControl/>
        <w:jc w:val="left"/>
        <w:rPr>
          <w:rFonts w:hint="eastAsia" w:ascii="宋体" w:hAnsi="宋体" w:cs="宋体"/>
          <w:kern w:val="0"/>
          <w:sz w:val="24"/>
          <w:szCs w:val="24"/>
        </w:rPr>
      </w:pPr>
    </w:p>
    <w:p>
      <w:pPr>
        <w:widowControl/>
        <w:jc w:val="left"/>
        <w:rPr>
          <w:rFonts w:hint="eastAsia" w:ascii="宋体" w:hAnsi="宋体" w:cs="宋体"/>
          <w:kern w:val="0"/>
          <w:sz w:val="24"/>
          <w:szCs w:val="24"/>
        </w:rPr>
      </w:pPr>
    </w:p>
    <w:p>
      <w:pPr>
        <w:widowControl/>
        <w:jc w:val="left"/>
        <w:rPr>
          <w:rFonts w:hint="eastAsia" w:ascii="宋体" w:hAnsi="宋体" w:cs="宋体"/>
          <w:kern w:val="0"/>
          <w:sz w:val="24"/>
          <w:szCs w:val="24"/>
        </w:rPr>
      </w:pPr>
      <w:r>
        <w:rPr>
          <w:rFonts w:hint="eastAsia" w:ascii="宋体" w:hAnsi="宋体" w:cs="宋体"/>
          <w:kern w:val="0"/>
          <w:sz w:val="24"/>
          <w:szCs w:val="24"/>
        </w:rPr>
        <w:t>注：（1）</w:t>
      </w:r>
      <w:r>
        <w:rPr>
          <w:rFonts w:ascii="宋体" w:hAnsi="宋体" w:cs="宋体"/>
          <w:kern w:val="0"/>
          <w:sz w:val="24"/>
          <w:szCs w:val="24"/>
        </w:rPr>
        <w:t>工程量清单中给出的工程量是估算量或暂定量，是为投标报价确定的共同的基础，不能作为最终结算与支付的依据。实际</w:t>
      </w:r>
      <w:r>
        <w:rPr>
          <w:rFonts w:hint="eastAsia" w:ascii="宋体" w:hAnsi="宋体" w:cs="宋体"/>
          <w:kern w:val="0"/>
          <w:sz w:val="24"/>
          <w:szCs w:val="24"/>
        </w:rPr>
        <w:t>工程价款</w:t>
      </w:r>
      <w:r>
        <w:rPr>
          <w:rFonts w:ascii="宋体" w:hAnsi="宋体" w:cs="宋体"/>
          <w:kern w:val="0"/>
          <w:sz w:val="24"/>
          <w:szCs w:val="24"/>
        </w:rPr>
        <w:t xml:space="preserve">的支付，按工程量清单中所报的单价乘以实际工程量计算支付 </w:t>
      </w:r>
      <w:r>
        <w:rPr>
          <w:rFonts w:hint="eastAsia" w:ascii="宋体" w:hAnsi="宋体" w:cs="宋体"/>
          <w:kern w:val="0"/>
          <w:sz w:val="24"/>
          <w:szCs w:val="24"/>
        </w:rPr>
        <w:t>。(如果出现图纸与</w:t>
      </w:r>
      <w:r>
        <w:rPr>
          <w:rFonts w:hint="eastAsia" w:ascii="宋体" w:hAnsi="宋体" w:cs="宋体"/>
          <w:kern w:val="0"/>
          <w:sz w:val="24"/>
          <w:szCs w:val="24"/>
          <w:lang w:eastAsia="zh-CN"/>
        </w:rPr>
        <w:t>货物</w:t>
      </w:r>
      <w:r>
        <w:rPr>
          <w:rFonts w:hint="eastAsia" w:ascii="宋体" w:hAnsi="宋体" w:cs="宋体"/>
          <w:kern w:val="0"/>
          <w:sz w:val="24"/>
          <w:szCs w:val="24"/>
        </w:rPr>
        <w:t>需求的数量不一致，按照</w:t>
      </w:r>
      <w:r>
        <w:rPr>
          <w:rFonts w:hint="eastAsia" w:ascii="宋体" w:hAnsi="宋体" w:cs="宋体"/>
          <w:kern w:val="0"/>
          <w:sz w:val="24"/>
          <w:szCs w:val="24"/>
          <w:lang w:eastAsia="zh-CN"/>
        </w:rPr>
        <w:t>货物</w:t>
      </w:r>
      <w:r>
        <w:rPr>
          <w:rFonts w:hint="eastAsia" w:ascii="宋体" w:hAnsi="宋体" w:cs="宋体"/>
          <w:kern w:val="0"/>
          <w:sz w:val="24"/>
          <w:szCs w:val="24"/>
        </w:rPr>
        <w:t>需求数量报价）</w:t>
      </w:r>
    </w:p>
    <w:p>
      <w:pPr>
        <w:numPr>
          <w:ilvl w:val="0"/>
          <w:numId w:val="1"/>
        </w:numPr>
        <w:spacing w:line="360" w:lineRule="auto"/>
        <w:rPr>
          <w:rFonts w:hint="eastAsia"/>
          <w:lang w:val="en-US" w:eastAsia="zh-CN"/>
        </w:rPr>
      </w:pPr>
      <w:r>
        <w:rPr>
          <w:rFonts w:hint="eastAsia" w:ascii="宋体" w:hAnsi="宋体" w:eastAsia="宋体"/>
          <w:sz w:val="24"/>
          <w:szCs w:val="24"/>
        </w:rPr>
        <w:t>国家电网公司或安徽省电力公司集中招标活动</w:t>
      </w:r>
      <w:r>
        <w:rPr>
          <w:rFonts w:hint="eastAsia" w:ascii="宋体" w:hAnsi="宋体" w:eastAsia="宋体"/>
          <w:sz w:val="24"/>
          <w:szCs w:val="24"/>
          <w:lang w:eastAsia="zh-CN"/>
        </w:rPr>
        <w:t>投标人</w:t>
      </w:r>
      <w:r>
        <w:rPr>
          <w:rFonts w:hint="eastAsia" w:ascii="宋体" w:hAnsi="宋体" w:eastAsia="宋体"/>
          <w:sz w:val="24"/>
          <w:szCs w:val="24"/>
        </w:rPr>
        <w:t>资质能力核实结果证明函件未包含所投产品，可单独提供相应对应的型式实验报告可视为有效证明</w:t>
      </w:r>
      <w:r>
        <w:rPr>
          <w:rFonts w:hint="eastAsia" w:ascii="宋体" w:hAnsi="宋体" w:eastAsia="宋体"/>
          <w:sz w:val="24"/>
          <w:szCs w:val="24"/>
          <w:lang w:val="en-US" w:eastAsia="zh-CN"/>
        </w:rPr>
        <w:t>。</w:t>
      </w:r>
    </w:p>
    <w:p>
      <w:pPr>
        <w:pStyle w:val="4"/>
        <w:numPr>
          <w:ilvl w:val="0"/>
          <w:numId w:val="2"/>
        </w:numPr>
        <w:spacing w:line="360" w:lineRule="auto"/>
        <w:jc w:val="left"/>
        <w:rPr>
          <w:rFonts w:hint="eastAsia" w:ascii="宋体" w:hAnsi="宋体" w:cs="宋体"/>
          <w:b/>
          <w:color w:val="000000"/>
          <w:sz w:val="28"/>
          <w:szCs w:val="28"/>
          <w:lang w:eastAsia="zh-CN"/>
        </w:rPr>
      </w:pPr>
      <w:r>
        <w:rPr>
          <w:rFonts w:hint="eastAsia" w:ascii="宋体" w:hAnsi="宋体" w:cs="宋体"/>
          <w:b/>
          <w:color w:val="000000"/>
          <w:sz w:val="28"/>
          <w:szCs w:val="28"/>
          <w:lang w:eastAsia="zh-CN"/>
        </w:rPr>
        <w:t>技术参数</w:t>
      </w:r>
      <w:bookmarkStart w:id="1" w:name="_Toc3324"/>
    </w:p>
    <w:bookmarkEnd w:id="1"/>
    <w:p>
      <w:pPr>
        <w:spacing w:line="360" w:lineRule="auto"/>
        <w:rPr>
          <w:rFonts w:hint="eastAsia" w:ascii="宋体" w:hAnsi="宋体"/>
          <w:b/>
          <w:bCs/>
          <w:sz w:val="24"/>
          <w:szCs w:val="24"/>
          <w:lang w:val="en-US" w:eastAsia="zh-CN"/>
        </w:rPr>
      </w:pPr>
      <w:r>
        <w:rPr>
          <w:rFonts w:hint="eastAsia" w:ascii="宋体" w:hAnsi="宋体"/>
          <w:b/>
          <w:bCs/>
          <w:sz w:val="24"/>
          <w:szCs w:val="24"/>
          <w:lang w:val="en-US" w:eastAsia="zh-CN"/>
        </w:rPr>
        <w:t>一标段：</w:t>
      </w:r>
    </w:p>
    <w:p>
      <w:pPr>
        <w:pStyle w:val="4"/>
        <w:spacing w:line="360" w:lineRule="auto"/>
        <w:jc w:val="center"/>
        <w:rPr>
          <w:rFonts w:hint="eastAsia" w:ascii="黑体" w:hAnsi="Courier New" w:eastAsia="黑体"/>
          <w:b w:val="0"/>
          <w:bCs/>
          <w:sz w:val="28"/>
          <w:szCs w:val="28"/>
        </w:rPr>
      </w:pPr>
      <w:r>
        <w:rPr>
          <w:rFonts w:hint="eastAsia" w:ascii="黑体" w:hAnsi="Courier New" w:eastAsia="黑体"/>
          <w:b w:val="0"/>
          <w:bCs/>
          <w:sz w:val="28"/>
          <w:szCs w:val="28"/>
        </w:rPr>
        <w:t>锥形水泥杆 整根杆，无根部法兰技术规范书</w:t>
      </w: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2.2 原材料</w:t>
      </w:r>
    </w:p>
    <w:p>
      <w:pPr>
        <w:pStyle w:val="2"/>
        <w:spacing w:line="360" w:lineRule="auto"/>
        <w:ind w:firstLine="420"/>
        <w:jc w:val="left"/>
        <w:rPr>
          <w:rStyle w:val="7"/>
          <w:rFonts w:hint="eastAsia" w:ascii="宋体" w:hAnsi="宋体" w:eastAsia="宋体"/>
          <w:b w:val="0"/>
          <w:bCs/>
          <w:kern w:val="2"/>
          <w:sz w:val="21"/>
          <w:lang w:val="en-US" w:eastAsia="zh-CN" w:bidi="ar-SA"/>
        </w:rPr>
      </w:pPr>
      <w:bookmarkStart w:id="2" w:name="_Toc17674"/>
      <w:bookmarkStart w:id="3" w:name="_Toc32022"/>
      <w:bookmarkStart w:id="4" w:name="_Toc31299"/>
      <w:r>
        <w:rPr>
          <w:rStyle w:val="7"/>
          <w:rFonts w:hint="eastAsia" w:ascii="宋体" w:hAnsi="宋体" w:eastAsia="宋体"/>
          <w:b w:val="0"/>
          <w:bCs/>
          <w:kern w:val="2"/>
          <w:sz w:val="21"/>
          <w:lang w:val="en-US" w:eastAsia="zh-CN" w:bidi="ar-SA"/>
        </w:rPr>
        <w:t>2.2.1水泥</w:t>
      </w:r>
      <w:bookmarkEnd w:id="2"/>
      <w:bookmarkEnd w:id="3"/>
      <w:bookmarkEnd w:id="4"/>
      <w:r>
        <w:rPr>
          <w:rStyle w:val="7"/>
          <w:rFonts w:hint="eastAsia" w:ascii="宋体" w:hAnsi="宋体" w:eastAsia="宋体"/>
          <w:b w:val="0"/>
          <w:bCs/>
          <w:kern w:val="2"/>
          <w:sz w:val="21"/>
          <w:lang w:val="en-US" w:eastAsia="zh-CN" w:bidi="ar-SA"/>
        </w:rPr>
        <w:t xml:space="preserve"> </w:t>
      </w:r>
    </w:p>
    <w:p>
      <w:pPr>
        <w:spacing w:line="360" w:lineRule="auto"/>
        <w:ind w:firstLine="560"/>
        <w:jc w:val="left"/>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 xml:space="preserve">采用强度等级不低于42.5级的硅酸盐水泥、普通硅酸盐水泥、矿渣硅酸盐水泥，抗硫酸盐硅酸盐水泥，其性能应符合GB175、GB748规定。 </w:t>
      </w:r>
    </w:p>
    <w:p>
      <w:pPr>
        <w:pStyle w:val="2"/>
        <w:spacing w:line="360" w:lineRule="auto"/>
        <w:ind w:firstLine="420"/>
        <w:jc w:val="left"/>
        <w:rPr>
          <w:rStyle w:val="7"/>
          <w:rFonts w:hint="eastAsia" w:ascii="宋体" w:hAnsi="宋体" w:eastAsia="宋体"/>
          <w:b w:val="0"/>
          <w:bCs/>
          <w:kern w:val="2"/>
          <w:sz w:val="21"/>
          <w:lang w:val="en-US" w:eastAsia="zh-CN" w:bidi="ar-SA"/>
        </w:rPr>
      </w:pPr>
      <w:bookmarkStart w:id="5" w:name="_Toc6981"/>
      <w:bookmarkStart w:id="6" w:name="_Toc16726"/>
      <w:bookmarkStart w:id="7" w:name="_Toc27118"/>
      <w:r>
        <w:rPr>
          <w:rStyle w:val="7"/>
          <w:rFonts w:hint="eastAsia" w:ascii="宋体" w:hAnsi="宋体" w:eastAsia="宋体"/>
          <w:b w:val="0"/>
          <w:bCs/>
          <w:kern w:val="2"/>
          <w:sz w:val="21"/>
          <w:lang w:val="en-US" w:eastAsia="zh-CN" w:bidi="ar-SA"/>
        </w:rPr>
        <w:t>2.2.2集料</w:t>
      </w:r>
      <w:bookmarkEnd w:id="5"/>
      <w:bookmarkEnd w:id="6"/>
      <w:bookmarkEnd w:id="7"/>
      <w:r>
        <w:rPr>
          <w:rStyle w:val="7"/>
          <w:rFonts w:hint="eastAsia" w:ascii="宋体" w:hAnsi="宋体" w:eastAsia="宋体"/>
          <w:b w:val="0"/>
          <w:bCs/>
          <w:kern w:val="2"/>
          <w:sz w:val="21"/>
          <w:lang w:val="en-US" w:eastAsia="zh-CN" w:bidi="ar-SA"/>
        </w:rPr>
        <w:t xml:space="preserve"> </w:t>
      </w:r>
    </w:p>
    <w:p>
      <w:pPr>
        <w:spacing w:line="360" w:lineRule="auto"/>
        <w:ind w:firstLine="420"/>
        <w:jc w:val="left"/>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 xml:space="preserve">细集料采用中粗砂，细度规模为3.2～2.3。粗集料采用碎石，其最大粒径不大于25mm，且小于钢筋净距的3/4，砂石的其他质量应分别符合GB/T 14684、GB/T 14685的规定。不得采用海沙。 </w:t>
      </w:r>
    </w:p>
    <w:p>
      <w:pPr>
        <w:pStyle w:val="2"/>
        <w:spacing w:line="360" w:lineRule="auto"/>
        <w:ind w:firstLine="420"/>
        <w:jc w:val="left"/>
        <w:rPr>
          <w:rStyle w:val="7"/>
          <w:rFonts w:hint="eastAsia" w:ascii="宋体" w:hAnsi="宋体" w:eastAsia="宋体"/>
          <w:b w:val="0"/>
          <w:bCs/>
          <w:kern w:val="2"/>
          <w:sz w:val="21"/>
          <w:lang w:val="en-US" w:eastAsia="zh-CN" w:bidi="ar-SA"/>
        </w:rPr>
      </w:pPr>
      <w:bookmarkStart w:id="8" w:name="_Toc18020"/>
      <w:bookmarkStart w:id="9" w:name="_Toc19037"/>
      <w:bookmarkStart w:id="10" w:name="_Toc4911"/>
      <w:r>
        <w:rPr>
          <w:rStyle w:val="7"/>
          <w:rFonts w:hint="eastAsia" w:ascii="宋体" w:hAnsi="宋体" w:eastAsia="宋体"/>
          <w:b w:val="0"/>
          <w:bCs/>
          <w:kern w:val="2"/>
          <w:sz w:val="21"/>
          <w:lang w:val="en-US" w:eastAsia="zh-CN" w:bidi="ar-SA"/>
        </w:rPr>
        <w:t>2.2.3水</w:t>
      </w:r>
      <w:bookmarkEnd w:id="8"/>
      <w:bookmarkEnd w:id="9"/>
      <w:bookmarkEnd w:id="10"/>
      <w:r>
        <w:rPr>
          <w:rStyle w:val="7"/>
          <w:rFonts w:hint="eastAsia" w:ascii="宋体" w:hAnsi="宋体" w:eastAsia="宋体"/>
          <w:b w:val="0"/>
          <w:bCs/>
          <w:kern w:val="2"/>
          <w:sz w:val="21"/>
          <w:lang w:val="en-US" w:eastAsia="zh-CN" w:bidi="ar-SA"/>
        </w:rPr>
        <w:t xml:space="preserve"> </w:t>
      </w:r>
    </w:p>
    <w:p>
      <w:pPr>
        <w:spacing w:line="360" w:lineRule="auto"/>
        <w:ind w:firstLine="420"/>
        <w:jc w:val="left"/>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 xml:space="preserve">拌制混制土须采用饮用水，水质符合JGJ 63的规定。 </w:t>
      </w:r>
    </w:p>
    <w:p>
      <w:pPr>
        <w:pStyle w:val="2"/>
        <w:spacing w:line="360" w:lineRule="auto"/>
        <w:ind w:firstLine="420"/>
        <w:jc w:val="left"/>
        <w:rPr>
          <w:rStyle w:val="7"/>
          <w:rFonts w:hint="eastAsia" w:ascii="宋体" w:hAnsi="宋体" w:eastAsia="宋体"/>
          <w:b w:val="0"/>
          <w:bCs/>
          <w:kern w:val="2"/>
          <w:sz w:val="21"/>
          <w:lang w:val="en-US" w:eastAsia="zh-CN" w:bidi="ar-SA"/>
        </w:rPr>
      </w:pPr>
      <w:bookmarkStart w:id="11" w:name="_Toc13222"/>
      <w:bookmarkStart w:id="12" w:name="_Toc7056"/>
      <w:bookmarkStart w:id="13" w:name="_Toc4436"/>
      <w:r>
        <w:rPr>
          <w:rStyle w:val="7"/>
          <w:rFonts w:hint="eastAsia" w:ascii="宋体" w:hAnsi="宋体" w:eastAsia="宋体"/>
          <w:b w:val="0"/>
          <w:bCs/>
          <w:kern w:val="2"/>
          <w:sz w:val="21"/>
          <w:lang w:val="en-US" w:eastAsia="zh-CN" w:bidi="ar-SA"/>
        </w:rPr>
        <w:t>2.2.4外加剂</w:t>
      </w:r>
      <w:bookmarkEnd w:id="11"/>
      <w:bookmarkEnd w:id="12"/>
      <w:bookmarkEnd w:id="13"/>
      <w:r>
        <w:rPr>
          <w:rStyle w:val="7"/>
          <w:rFonts w:hint="eastAsia" w:ascii="宋体" w:hAnsi="宋体" w:eastAsia="宋体"/>
          <w:b w:val="0"/>
          <w:bCs/>
          <w:kern w:val="2"/>
          <w:sz w:val="21"/>
          <w:lang w:val="en-US" w:eastAsia="zh-CN" w:bidi="ar-SA"/>
        </w:rPr>
        <w:t xml:space="preserve"> </w:t>
      </w:r>
    </w:p>
    <w:p>
      <w:pPr>
        <w:spacing w:line="360" w:lineRule="auto"/>
        <w:ind w:firstLine="420"/>
        <w:jc w:val="left"/>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掺入混凝土中的外加剂，其性能符合GB 8076的规定，严禁掺入氯盐类外加剂或对钢筋有腐蚀作用的外加剂。</w:t>
      </w:r>
    </w:p>
    <w:p>
      <w:pPr>
        <w:pStyle w:val="2"/>
        <w:spacing w:line="360" w:lineRule="auto"/>
        <w:ind w:firstLine="420"/>
        <w:jc w:val="left"/>
        <w:rPr>
          <w:rStyle w:val="7"/>
          <w:rFonts w:hint="eastAsia" w:ascii="宋体" w:hAnsi="宋体" w:eastAsia="宋体"/>
          <w:b w:val="0"/>
          <w:bCs/>
          <w:kern w:val="2"/>
          <w:sz w:val="21"/>
          <w:lang w:val="en-US" w:eastAsia="zh-CN" w:bidi="ar-SA"/>
        </w:rPr>
      </w:pPr>
      <w:bookmarkStart w:id="14" w:name="_Toc21908"/>
      <w:bookmarkStart w:id="15" w:name="_Toc6557"/>
      <w:bookmarkStart w:id="16" w:name="_Toc9258"/>
      <w:r>
        <w:rPr>
          <w:rStyle w:val="7"/>
          <w:rFonts w:hint="eastAsia" w:ascii="宋体" w:hAnsi="宋体" w:eastAsia="宋体"/>
          <w:b w:val="0"/>
          <w:bCs/>
          <w:kern w:val="2"/>
          <w:sz w:val="21"/>
          <w:lang w:val="en-US" w:eastAsia="zh-CN" w:bidi="ar-SA"/>
        </w:rPr>
        <w:t>2.2.5掺合料</w:t>
      </w:r>
      <w:bookmarkEnd w:id="14"/>
      <w:bookmarkEnd w:id="15"/>
      <w:bookmarkEnd w:id="16"/>
    </w:p>
    <w:p>
      <w:pPr>
        <w:spacing w:line="360" w:lineRule="auto"/>
        <w:ind w:firstLine="420"/>
        <w:jc w:val="left"/>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掺合料不能对电杆产生有害影响，使用前进行实验验证，并符合相应标准要求。</w:t>
      </w:r>
    </w:p>
    <w:p>
      <w:pPr>
        <w:pStyle w:val="2"/>
        <w:spacing w:line="360" w:lineRule="auto"/>
        <w:ind w:firstLine="420"/>
        <w:jc w:val="left"/>
        <w:rPr>
          <w:rStyle w:val="7"/>
          <w:rFonts w:hint="eastAsia" w:ascii="宋体" w:hAnsi="宋体" w:eastAsia="宋体"/>
          <w:b w:val="0"/>
          <w:bCs/>
          <w:kern w:val="2"/>
          <w:sz w:val="21"/>
          <w:lang w:val="en-US" w:eastAsia="zh-CN" w:bidi="ar-SA"/>
        </w:rPr>
      </w:pPr>
      <w:bookmarkStart w:id="17" w:name="_Toc13679"/>
      <w:bookmarkStart w:id="18" w:name="_Toc20313"/>
      <w:bookmarkStart w:id="19" w:name="_Toc18179"/>
      <w:r>
        <w:rPr>
          <w:rStyle w:val="7"/>
          <w:rFonts w:hint="eastAsia" w:ascii="宋体" w:hAnsi="宋体" w:eastAsia="宋体"/>
          <w:b w:val="0"/>
          <w:bCs/>
          <w:kern w:val="2"/>
          <w:sz w:val="21"/>
          <w:lang w:val="en-US" w:eastAsia="zh-CN" w:bidi="ar-SA"/>
        </w:rPr>
        <w:t>2.2.6钢筋</w:t>
      </w:r>
      <w:bookmarkEnd w:id="17"/>
      <w:bookmarkEnd w:id="18"/>
      <w:bookmarkEnd w:id="19"/>
      <w:r>
        <w:rPr>
          <w:rStyle w:val="7"/>
          <w:rFonts w:hint="eastAsia" w:ascii="宋体" w:hAnsi="宋体" w:eastAsia="宋体"/>
          <w:b w:val="0"/>
          <w:bCs/>
          <w:kern w:val="2"/>
          <w:sz w:val="21"/>
          <w:lang w:val="en-US" w:eastAsia="zh-CN" w:bidi="ar-SA"/>
        </w:rPr>
        <w:t xml:space="preserve"> </w:t>
      </w:r>
    </w:p>
    <w:p>
      <w:pPr>
        <w:spacing w:line="360" w:lineRule="auto"/>
        <w:ind w:firstLine="420"/>
        <w:jc w:val="left"/>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2.2.6.1普通纵向受力钢筋采用热轧带肋钢筋，其性能符合GB1499.2的规定。</w:t>
      </w:r>
    </w:p>
    <w:p>
      <w:pPr>
        <w:spacing w:line="360" w:lineRule="auto"/>
        <w:ind w:firstLine="420"/>
        <w:jc w:val="left"/>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2.2.6.2预应力纵向受力钢筋采用低松弛预应力混凝土用钢筋，其性能应分别符合GB/T5223、GB/T5224的规定。</w:t>
      </w:r>
    </w:p>
    <w:p>
      <w:pPr>
        <w:spacing w:line="360" w:lineRule="auto"/>
        <w:ind w:firstLine="420"/>
        <w:jc w:val="left"/>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2.2.6.3架立圈筋采用热轧光圆钢筋、冷拔低碳钢丝，其性能应分别符合GB1499.1、JC/T540的规定。</w:t>
      </w:r>
    </w:p>
    <w:p>
      <w:pPr>
        <w:spacing w:line="360" w:lineRule="auto"/>
        <w:ind w:firstLine="420"/>
        <w:jc w:val="left"/>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2.2.6.4螺旋筋采用冷拔低碳钢丝，其性能应符合JC/T540的规定。</w:t>
      </w:r>
    </w:p>
    <w:p>
      <w:pPr>
        <w:spacing w:line="360" w:lineRule="auto"/>
        <w:ind w:firstLine="420"/>
        <w:jc w:val="left"/>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2.2.6.5钢板圈与法兰盘所用钢板采用Q235B钢，其性能符合GB/T 700的规定。</w:t>
      </w: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bookmarkStart w:id="20" w:name="_Toc8004"/>
      <w:r>
        <w:rPr>
          <w:rStyle w:val="7"/>
          <w:rFonts w:hint="eastAsia" w:ascii="宋体" w:hAnsi="宋体" w:eastAsia="宋体"/>
          <w:b w:val="0"/>
          <w:bCs/>
          <w:kern w:val="2"/>
          <w:sz w:val="21"/>
          <w:lang w:val="en-US" w:eastAsia="zh-CN" w:bidi="ar-SA"/>
        </w:rPr>
        <w:t>2.3 结构要求</w:t>
      </w:r>
      <w:bookmarkEnd w:id="20"/>
    </w:p>
    <w:p>
      <w:pPr>
        <w:spacing w:line="360" w:lineRule="auto"/>
        <w:ind w:firstLine="420"/>
        <w:jc w:val="left"/>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 xml:space="preserve">2.3.1保护层厚度不得小于15mm；钢板圈接头端顶部必须有混凝土保护层，电杆在正常使用时，在10年以内外环筋不应出现外露锈蚀现象。 </w:t>
      </w:r>
    </w:p>
    <w:p>
      <w:pPr>
        <w:spacing w:line="360" w:lineRule="auto"/>
        <w:ind w:firstLine="420"/>
        <w:jc w:val="left"/>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2.3.2环形混凝土电杆钢筋骨架加工质量应符合GB/T4623的相关规定。</w:t>
      </w: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bookmarkStart w:id="21" w:name="_Toc30355"/>
      <w:r>
        <w:rPr>
          <w:rStyle w:val="7"/>
          <w:rFonts w:hint="eastAsia" w:ascii="宋体" w:hAnsi="宋体" w:eastAsia="宋体"/>
          <w:b w:val="0"/>
          <w:bCs/>
          <w:kern w:val="2"/>
          <w:sz w:val="21"/>
          <w:lang w:val="en-US" w:eastAsia="zh-CN" w:bidi="ar-SA"/>
        </w:rPr>
        <w:t>2.4电杆接头、预埋件及预留孔</w:t>
      </w:r>
      <w:bookmarkEnd w:id="21"/>
      <w:r>
        <w:rPr>
          <w:rStyle w:val="7"/>
          <w:rFonts w:hint="eastAsia" w:ascii="宋体" w:hAnsi="宋体" w:eastAsia="宋体"/>
          <w:b w:val="0"/>
          <w:bCs/>
          <w:kern w:val="2"/>
          <w:sz w:val="21"/>
          <w:lang w:val="en-US" w:eastAsia="zh-CN" w:bidi="ar-SA"/>
        </w:rPr>
        <w:t xml:space="preserve"> </w:t>
      </w:r>
    </w:p>
    <w:p>
      <w:pPr>
        <w:pStyle w:val="2"/>
        <w:spacing w:line="360" w:lineRule="auto"/>
        <w:ind w:firstLine="420"/>
        <w:jc w:val="left"/>
        <w:rPr>
          <w:rStyle w:val="7"/>
          <w:rFonts w:hint="eastAsia" w:ascii="宋体" w:hAnsi="宋体" w:eastAsia="宋体"/>
          <w:b w:val="0"/>
          <w:bCs/>
          <w:kern w:val="2"/>
          <w:sz w:val="21"/>
          <w:lang w:val="en-US" w:eastAsia="zh-CN" w:bidi="ar-SA"/>
        </w:rPr>
      </w:pPr>
      <w:bookmarkStart w:id="22" w:name="_Toc3118"/>
      <w:bookmarkStart w:id="23" w:name="_Toc26093"/>
      <w:bookmarkStart w:id="24" w:name="_Toc18935"/>
      <w:r>
        <w:rPr>
          <w:rStyle w:val="7"/>
          <w:rFonts w:hint="eastAsia" w:ascii="宋体" w:hAnsi="宋体" w:eastAsia="宋体"/>
          <w:b w:val="0"/>
          <w:bCs/>
          <w:kern w:val="2"/>
          <w:sz w:val="21"/>
          <w:lang w:val="en-US" w:eastAsia="zh-CN" w:bidi="ar-SA"/>
        </w:rPr>
        <w:t>2.4.1 接头采用钢板圈</w:t>
      </w:r>
      <w:bookmarkEnd w:id="22"/>
      <w:bookmarkEnd w:id="23"/>
      <w:bookmarkEnd w:id="24"/>
    </w:p>
    <w:p>
      <w:pPr>
        <w:spacing w:line="360" w:lineRule="auto"/>
        <w:ind w:firstLine="420"/>
        <w:jc w:val="left"/>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 xml:space="preserve">2.4.2主筋与连接板的连接应采用焊接，焊接质量应符合JGJ 18的规定 </w:t>
      </w:r>
    </w:p>
    <w:p>
      <w:pPr>
        <w:spacing w:line="360" w:lineRule="auto"/>
        <w:ind w:firstLine="420"/>
        <w:jc w:val="left"/>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 xml:space="preserve">2.4.3电杆接头强度不得低于接头处断面承载能力 </w:t>
      </w:r>
    </w:p>
    <w:p>
      <w:pPr>
        <w:spacing w:line="360" w:lineRule="auto"/>
        <w:ind w:firstLine="420"/>
        <w:jc w:val="left"/>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 xml:space="preserve">2.4.4预埋件、预留孔及泄水孔按设计图纸设置，并清理干净 </w:t>
      </w:r>
    </w:p>
    <w:p>
      <w:pPr>
        <w:spacing w:line="360" w:lineRule="auto"/>
        <w:ind w:firstLine="420"/>
        <w:jc w:val="left"/>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 xml:space="preserve">2.4.5接地螺母、脚钉母、接线盒等外露金属部分应有明显标记，并清理干净，其位置与买方协商确定。 </w:t>
      </w: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bookmarkStart w:id="25" w:name="_Toc11001"/>
      <w:r>
        <w:rPr>
          <w:rStyle w:val="7"/>
          <w:rFonts w:hint="eastAsia" w:ascii="宋体" w:hAnsi="宋体" w:eastAsia="宋体"/>
          <w:b w:val="0"/>
          <w:bCs/>
          <w:kern w:val="2"/>
          <w:sz w:val="21"/>
          <w:lang w:val="en-US" w:eastAsia="zh-CN" w:bidi="ar-SA"/>
        </w:rPr>
        <w:t>2.5 技术要求</w:t>
      </w:r>
      <w:bookmarkEnd w:id="25"/>
    </w:p>
    <w:p>
      <w:pPr>
        <w:pStyle w:val="2"/>
        <w:spacing w:line="360" w:lineRule="auto"/>
        <w:ind w:firstLine="420"/>
        <w:jc w:val="left"/>
        <w:rPr>
          <w:rStyle w:val="7"/>
          <w:rFonts w:hint="eastAsia" w:ascii="宋体" w:hAnsi="宋体" w:eastAsia="宋体"/>
          <w:b w:val="0"/>
          <w:bCs/>
          <w:kern w:val="2"/>
          <w:sz w:val="21"/>
          <w:lang w:val="en-US" w:eastAsia="zh-CN" w:bidi="ar-SA"/>
        </w:rPr>
      </w:pPr>
      <w:bookmarkStart w:id="26" w:name="_Toc22248"/>
      <w:bookmarkStart w:id="27" w:name="_Toc21234"/>
      <w:bookmarkStart w:id="28" w:name="_Toc22835"/>
      <w:r>
        <w:rPr>
          <w:rStyle w:val="7"/>
          <w:rFonts w:hint="eastAsia" w:ascii="宋体" w:hAnsi="宋体" w:eastAsia="宋体"/>
          <w:b w:val="0"/>
          <w:bCs/>
          <w:kern w:val="2"/>
          <w:sz w:val="21"/>
          <w:lang w:val="en-US" w:eastAsia="zh-CN" w:bidi="ar-SA"/>
        </w:rPr>
        <w:t>2.5.1混凝土抗压强度</w:t>
      </w:r>
      <w:bookmarkEnd w:id="26"/>
      <w:bookmarkEnd w:id="27"/>
      <w:bookmarkEnd w:id="28"/>
    </w:p>
    <w:p>
      <w:pPr>
        <w:spacing w:line="360" w:lineRule="auto"/>
        <w:ind w:firstLine="420"/>
        <w:jc w:val="left"/>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2.5.1.1 钢筋混凝土电杆用混凝土强度等级不应低于C40；预应力混凝土电杆、部分预应力混凝土电杆用混凝土强度等级不应低于C50。</w:t>
      </w:r>
    </w:p>
    <w:p>
      <w:pPr>
        <w:spacing w:line="360" w:lineRule="auto"/>
        <w:ind w:firstLine="420"/>
        <w:jc w:val="left"/>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2.5.1.2 混凝土质量控制应符合GB50164的规定。</w:t>
      </w:r>
    </w:p>
    <w:p>
      <w:pPr>
        <w:spacing w:line="360" w:lineRule="auto"/>
        <w:ind w:firstLine="420"/>
        <w:jc w:val="left"/>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 xml:space="preserve">2.5.1.3 出厂时混凝土强度等级应不低于设计的混凝土强度等级值。 </w:t>
      </w:r>
    </w:p>
    <w:p>
      <w:pPr>
        <w:pStyle w:val="2"/>
        <w:spacing w:line="360" w:lineRule="auto"/>
        <w:ind w:firstLine="420"/>
        <w:rPr>
          <w:rStyle w:val="7"/>
          <w:rFonts w:hint="eastAsia" w:ascii="宋体" w:hAnsi="宋体" w:eastAsia="宋体"/>
          <w:b w:val="0"/>
          <w:bCs/>
          <w:kern w:val="2"/>
          <w:sz w:val="21"/>
          <w:lang w:val="en-US" w:eastAsia="zh-CN" w:bidi="ar-SA"/>
        </w:rPr>
      </w:pPr>
      <w:bookmarkStart w:id="29" w:name="_Toc19912"/>
      <w:bookmarkStart w:id="30" w:name="_Toc29278"/>
      <w:bookmarkStart w:id="31" w:name="_Toc4676"/>
      <w:r>
        <w:rPr>
          <w:rStyle w:val="7"/>
          <w:rFonts w:hint="eastAsia" w:ascii="宋体" w:hAnsi="宋体" w:eastAsia="宋体"/>
          <w:b w:val="0"/>
          <w:bCs/>
          <w:kern w:val="2"/>
          <w:sz w:val="21"/>
          <w:lang w:val="en-US" w:eastAsia="zh-CN" w:bidi="ar-SA"/>
        </w:rPr>
        <w:t>2.5.2 外观质量</w:t>
      </w:r>
      <w:bookmarkEnd w:id="29"/>
      <w:bookmarkEnd w:id="30"/>
      <w:bookmarkEnd w:id="31"/>
    </w:p>
    <w:p>
      <w:pPr>
        <w:spacing w:line="360" w:lineRule="auto"/>
        <w:ind w:firstLine="420"/>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电杆外观质量应符合下表3.</w:t>
      </w:r>
    </w:p>
    <w:p>
      <w:pPr>
        <w:adjustRightInd w:val="0"/>
        <w:snapToGrid w:val="0"/>
        <w:spacing w:before="100" w:beforeAutospacing="1"/>
        <w:ind w:firstLine="420"/>
        <w:jc w:val="center"/>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表3 混凝土电杆产品外观质量要求</w:t>
      </w:r>
    </w:p>
    <w:tbl>
      <w:tblPr>
        <w:tblStyle w:val="6"/>
        <w:tblW w:w="8420" w:type="dxa"/>
        <w:tblInd w:w="57" w:type="dxa"/>
        <w:tblLayout w:type="fixed"/>
        <w:tblCellMar>
          <w:top w:w="0" w:type="dxa"/>
          <w:left w:w="57" w:type="dxa"/>
          <w:bottom w:w="0" w:type="dxa"/>
          <w:right w:w="57" w:type="dxa"/>
        </w:tblCellMar>
      </w:tblPr>
      <w:tblGrid>
        <w:gridCol w:w="993"/>
        <w:gridCol w:w="708"/>
        <w:gridCol w:w="993"/>
        <w:gridCol w:w="667"/>
        <w:gridCol w:w="5059"/>
      </w:tblGrid>
      <w:tr>
        <w:tblPrEx>
          <w:tblLayout w:type="fixed"/>
          <w:tblCellMar>
            <w:top w:w="0" w:type="dxa"/>
            <w:left w:w="57" w:type="dxa"/>
            <w:bottom w:w="0" w:type="dxa"/>
            <w:right w:w="57" w:type="dxa"/>
          </w:tblCellMar>
        </w:tblPrEx>
        <w:trPr>
          <w:trHeight w:val="285" w:hRule="atLeast"/>
        </w:trPr>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序号</w:t>
            </w:r>
          </w:p>
        </w:tc>
        <w:tc>
          <w:tcPr>
            <w:tcW w:w="1701" w:type="dxa"/>
            <w:gridSpan w:val="2"/>
            <w:tcBorders>
              <w:top w:val="single" w:color="auto" w:sz="4" w:space="0"/>
              <w:left w:val="nil"/>
              <w:bottom w:val="single" w:color="auto" w:sz="4" w:space="0"/>
              <w:right w:val="single" w:color="auto" w:sz="4" w:space="0"/>
            </w:tcBorders>
            <w:vAlign w:val="center"/>
          </w:tcPr>
          <w:p>
            <w:pPr>
              <w:ind w:firstLine="0" w:firstLineChars="0"/>
              <w:jc w:val="center"/>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项目</w:t>
            </w:r>
          </w:p>
        </w:tc>
        <w:tc>
          <w:tcPr>
            <w:tcW w:w="667" w:type="dxa"/>
            <w:tcBorders>
              <w:top w:val="single" w:color="auto" w:sz="4" w:space="0"/>
              <w:left w:val="nil"/>
              <w:bottom w:val="single" w:color="auto" w:sz="4" w:space="0"/>
              <w:right w:val="single" w:color="auto" w:sz="4" w:space="0"/>
            </w:tcBorders>
            <w:vAlign w:val="center"/>
          </w:tcPr>
          <w:p>
            <w:pPr>
              <w:ind w:firstLine="0" w:firstLineChars="0"/>
              <w:jc w:val="center"/>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项目类别</w:t>
            </w:r>
          </w:p>
        </w:tc>
        <w:tc>
          <w:tcPr>
            <w:tcW w:w="5059" w:type="dxa"/>
            <w:tcBorders>
              <w:top w:val="single" w:color="auto" w:sz="4" w:space="0"/>
              <w:left w:val="nil"/>
              <w:bottom w:val="single" w:color="auto" w:sz="4" w:space="0"/>
              <w:right w:val="single" w:color="auto" w:sz="4" w:space="0"/>
            </w:tcBorders>
            <w:vAlign w:val="center"/>
          </w:tcPr>
          <w:p>
            <w:pPr>
              <w:ind w:firstLine="0" w:firstLineChars="0"/>
              <w:jc w:val="center"/>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质量要求</w:t>
            </w:r>
          </w:p>
        </w:tc>
      </w:tr>
      <w:tr>
        <w:tblPrEx>
          <w:tblLayout w:type="fixed"/>
          <w:tblCellMar>
            <w:top w:w="0" w:type="dxa"/>
            <w:left w:w="57" w:type="dxa"/>
            <w:bottom w:w="0" w:type="dxa"/>
            <w:right w:w="57" w:type="dxa"/>
          </w:tblCellMar>
        </w:tblPrEx>
        <w:trPr>
          <w:trHeight w:val="855" w:hRule="atLeast"/>
        </w:trPr>
        <w:tc>
          <w:tcPr>
            <w:tcW w:w="993" w:type="dxa"/>
            <w:tcBorders>
              <w:top w:val="nil"/>
              <w:left w:val="single" w:color="auto" w:sz="4" w:space="0"/>
              <w:bottom w:val="single" w:color="auto" w:sz="4" w:space="0"/>
              <w:right w:val="single" w:color="auto" w:sz="4" w:space="0"/>
            </w:tcBorders>
            <w:vAlign w:val="center"/>
          </w:tcPr>
          <w:p>
            <w:pPr>
              <w:ind w:firstLine="0" w:firstLineChars="0"/>
              <w:jc w:val="center"/>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1</w:t>
            </w:r>
          </w:p>
        </w:tc>
        <w:tc>
          <w:tcPr>
            <w:tcW w:w="1701" w:type="dxa"/>
            <w:gridSpan w:val="2"/>
            <w:tcBorders>
              <w:top w:val="nil"/>
              <w:left w:val="nil"/>
              <w:bottom w:val="single" w:color="auto" w:sz="4" w:space="0"/>
              <w:right w:val="single" w:color="auto" w:sz="4" w:space="0"/>
            </w:tcBorders>
            <w:vAlign w:val="center"/>
          </w:tcPr>
          <w:p>
            <w:pPr>
              <w:ind w:firstLine="0" w:firstLineChars="0"/>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表面裂缝</w:t>
            </w:r>
          </w:p>
        </w:tc>
        <w:tc>
          <w:tcPr>
            <w:tcW w:w="667" w:type="dxa"/>
            <w:tcBorders>
              <w:top w:val="nil"/>
              <w:left w:val="nil"/>
              <w:bottom w:val="single" w:color="auto" w:sz="4" w:space="0"/>
              <w:right w:val="single" w:color="auto" w:sz="4" w:space="0"/>
            </w:tcBorders>
            <w:vAlign w:val="center"/>
          </w:tcPr>
          <w:p>
            <w:pPr>
              <w:ind w:firstLine="0" w:firstLineChars="0"/>
              <w:jc w:val="center"/>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A</w:t>
            </w:r>
          </w:p>
        </w:tc>
        <w:tc>
          <w:tcPr>
            <w:tcW w:w="5059" w:type="dxa"/>
            <w:tcBorders>
              <w:top w:val="nil"/>
              <w:left w:val="nil"/>
              <w:bottom w:val="single" w:color="auto" w:sz="4" w:space="0"/>
              <w:right w:val="single" w:color="auto" w:sz="4" w:space="0"/>
            </w:tcBorders>
            <w:vAlign w:val="center"/>
          </w:tcPr>
          <w:p>
            <w:pPr>
              <w:ind w:firstLine="420"/>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预应力混凝土电杆和部分预应力混凝土电杆不得有环向和纵向裂缝。钢筋混凝土电杆不得有纵向裂缝，环向裂缝宽度不得大于0.05mm。</w:t>
            </w:r>
          </w:p>
        </w:tc>
      </w:tr>
      <w:tr>
        <w:tblPrEx>
          <w:tblLayout w:type="fixed"/>
          <w:tblCellMar>
            <w:top w:w="0" w:type="dxa"/>
            <w:left w:w="57" w:type="dxa"/>
            <w:bottom w:w="0" w:type="dxa"/>
            <w:right w:w="57" w:type="dxa"/>
          </w:tblCellMar>
        </w:tblPrEx>
        <w:trPr>
          <w:trHeight w:val="855" w:hRule="atLeast"/>
        </w:trPr>
        <w:tc>
          <w:tcPr>
            <w:tcW w:w="993" w:type="dxa"/>
            <w:vMerge w:val="restart"/>
            <w:tcBorders>
              <w:top w:val="nil"/>
              <w:left w:val="single" w:color="auto" w:sz="4" w:space="0"/>
              <w:bottom w:val="single" w:color="auto" w:sz="4" w:space="0"/>
              <w:right w:val="single" w:color="auto" w:sz="4" w:space="0"/>
            </w:tcBorders>
            <w:vAlign w:val="center"/>
          </w:tcPr>
          <w:p>
            <w:pPr>
              <w:ind w:firstLine="0" w:firstLineChars="0"/>
              <w:jc w:val="center"/>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2</w:t>
            </w:r>
          </w:p>
        </w:tc>
        <w:tc>
          <w:tcPr>
            <w:tcW w:w="708" w:type="dxa"/>
            <w:vMerge w:val="restart"/>
            <w:tcBorders>
              <w:top w:val="single" w:color="auto" w:sz="4" w:space="0"/>
              <w:left w:val="nil"/>
              <w:bottom w:val="single" w:color="auto" w:sz="4" w:space="0"/>
              <w:right w:val="single" w:color="auto" w:sz="4" w:space="0"/>
            </w:tcBorders>
            <w:vAlign w:val="center"/>
          </w:tcPr>
          <w:p>
            <w:pPr>
              <w:ind w:firstLine="0" w:firstLineChars="0"/>
              <w:jc w:val="center"/>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漏浆</w:t>
            </w:r>
          </w:p>
        </w:tc>
        <w:tc>
          <w:tcPr>
            <w:tcW w:w="993" w:type="dxa"/>
            <w:tcBorders>
              <w:top w:val="single" w:color="auto" w:sz="4" w:space="0"/>
              <w:left w:val="nil"/>
              <w:bottom w:val="single" w:color="auto" w:sz="4" w:space="0"/>
              <w:right w:val="single" w:color="auto" w:sz="4" w:space="0"/>
            </w:tcBorders>
            <w:vAlign w:val="center"/>
          </w:tcPr>
          <w:p>
            <w:pPr>
              <w:ind w:firstLine="0" w:firstLineChars="0"/>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模边合缝处</w:t>
            </w:r>
          </w:p>
        </w:tc>
        <w:tc>
          <w:tcPr>
            <w:tcW w:w="667" w:type="dxa"/>
            <w:tcBorders>
              <w:top w:val="nil"/>
              <w:left w:val="nil"/>
              <w:bottom w:val="single" w:color="auto" w:sz="4" w:space="0"/>
              <w:right w:val="single" w:color="auto" w:sz="4" w:space="0"/>
            </w:tcBorders>
            <w:vAlign w:val="center"/>
          </w:tcPr>
          <w:p>
            <w:pPr>
              <w:ind w:firstLine="0" w:firstLineChars="0"/>
              <w:jc w:val="center"/>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A</w:t>
            </w:r>
          </w:p>
        </w:tc>
        <w:tc>
          <w:tcPr>
            <w:tcW w:w="5059" w:type="dxa"/>
            <w:tcBorders>
              <w:top w:val="nil"/>
              <w:left w:val="nil"/>
              <w:bottom w:val="single" w:color="auto" w:sz="4" w:space="0"/>
              <w:right w:val="single" w:color="auto" w:sz="4" w:space="0"/>
            </w:tcBorders>
            <w:vAlign w:val="center"/>
          </w:tcPr>
          <w:p>
            <w:pPr>
              <w:ind w:firstLine="420"/>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模边合缝处不应漏浆。但如漏浆深度不大于3mm、每处漏浆长度不大于100mm、累计长度不大于杆长的4%、对称漏浆的搭接长度不大于100mm时，允许修补。</w:t>
            </w:r>
          </w:p>
        </w:tc>
      </w:tr>
      <w:tr>
        <w:tblPrEx>
          <w:tblLayout w:type="fixed"/>
          <w:tblCellMar>
            <w:top w:w="0" w:type="dxa"/>
            <w:left w:w="57" w:type="dxa"/>
            <w:bottom w:w="0" w:type="dxa"/>
            <w:right w:w="57" w:type="dxa"/>
          </w:tblCellMar>
        </w:tblPrEx>
        <w:trPr>
          <w:trHeight w:val="855" w:hRule="atLeast"/>
        </w:trPr>
        <w:tc>
          <w:tcPr>
            <w:tcW w:w="993"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Style w:val="7"/>
                <w:rFonts w:hint="eastAsia" w:ascii="宋体" w:hAnsi="宋体" w:eastAsia="宋体"/>
                <w:b w:val="0"/>
                <w:kern w:val="2"/>
                <w:sz w:val="21"/>
                <w:lang w:val="en-US" w:eastAsia="zh-CN" w:bidi="ar-SA"/>
              </w:rPr>
            </w:pPr>
          </w:p>
        </w:tc>
        <w:tc>
          <w:tcPr>
            <w:tcW w:w="708" w:type="dxa"/>
            <w:vMerge w:val="continue"/>
            <w:tcBorders>
              <w:top w:val="single" w:color="auto" w:sz="4" w:space="0"/>
              <w:left w:val="nil"/>
              <w:bottom w:val="single" w:color="auto" w:sz="4" w:space="0"/>
              <w:right w:val="single" w:color="auto" w:sz="4" w:space="0"/>
            </w:tcBorders>
            <w:vAlign w:val="center"/>
          </w:tcPr>
          <w:p>
            <w:pPr>
              <w:ind w:firstLine="0" w:firstLineChars="0"/>
              <w:jc w:val="center"/>
              <w:rPr>
                <w:rStyle w:val="7"/>
                <w:rFonts w:hint="eastAsia" w:ascii="宋体" w:hAnsi="宋体" w:eastAsia="宋体"/>
                <w:b w:val="0"/>
                <w:kern w:val="2"/>
                <w:sz w:val="21"/>
                <w:lang w:val="en-US" w:eastAsia="zh-CN" w:bidi="ar-SA"/>
              </w:rPr>
            </w:pPr>
          </w:p>
        </w:tc>
        <w:tc>
          <w:tcPr>
            <w:tcW w:w="993" w:type="dxa"/>
            <w:tcBorders>
              <w:top w:val="single" w:color="auto" w:sz="4" w:space="0"/>
              <w:left w:val="nil"/>
              <w:bottom w:val="single" w:color="auto" w:sz="4" w:space="0"/>
              <w:right w:val="single" w:color="auto" w:sz="4" w:space="0"/>
            </w:tcBorders>
            <w:vAlign w:val="center"/>
          </w:tcPr>
          <w:p>
            <w:pPr>
              <w:ind w:firstLine="0" w:firstLineChars="0"/>
              <w:jc w:val="center"/>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钢板圈（或法兰盘）与杆身结合面</w:t>
            </w:r>
          </w:p>
        </w:tc>
        <w:tc>
          <w:tcPr>
            <w:tcW w:w="667" w:type="dxa"/>
            <w:tcBorders>
              <w:top w:val="nil"/>
              <w:left w:val="nil"/>
              <w:bottom w:val="single" w:color="auto" w:sz="4" w:space="0"/>
              <w:right w:val="single" w:color="auto" w:sz="4" w:space="0"/>
            </w:tcBorders>
            <w:vAlign w:val="center"/>
          </w:tcPr>
          <w:p>
            <w:pPr>
              <w:ind w:firstLine="0" w:firstLineChars="0"/>
              <w:jc w:val="center"/>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A</w:t>
            </w:r>
          </w:p>
        </w:tc>
        <w:tc>
          <w:tcPr>
            <w:tcW w:w="5059" w:type="dxa"/>
            <w:tcBorders>
              <w:top w:val="nil"/>
              <w:left w:val="nil"/>
              <w:bottom w:val="single" w:color="auto" w:sz="4" w:space="0"/>
              <w:right w:val="single" w:color="auto" w:sz="4" w:space="0"/>
            </w:tcBorders>
            <w:vAlign w:val="center"/>
          </w:tcPr>
          <w:p>
            <w:pPr>
              <w:ind w:firstLine="420"/>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钢板圈（或法兰盘）与杆身结合面不应漏浆。但如漏浆深度不大于3mm、环向长度不大于1/6周长、纵向长度不大于20mm时，允许修补。</w:t>
            </w:r>
          </w:p>
        </w:tc>
      </w:tr>
      <w:tr>
        <w:tblPrEx>
          <w:tblLayout w:type="fixed"/>
          <w:tblCellMar>
            <w:top w:w="0" w:type="dxa"/>
            <w:left w:w="57" w:type="dxa"/>
            <w:bottom w:w="0" w:type="dxa"/>
            <w:right w:w="57" w:type="dxa"/>
          </w:tblCellMar>
        </w:tblPrEx>
        <w:trPr>
          <w:trHeight w:val="570" w:hRule="atLeast"/>
        </w:trPr>
        <w:tc>
          <w:tcPr>
            <w:tcW w:w="993" w:type="dxa"/>
            <w:tcBorders>
              <w:top w:val="nil"/>
              <w:left w:val="single" w:color="auto" w:sz="4" w:space="0"/>
              <w:bottom w:val="single" w:color="auto" w:sz="4" w:space="0"/>
              <w:right w:val="single" w:color="auto" w:sz="4" w:space="0"/>
            </w:tcBorders>
            <w:vAlign w:val="center"/>
          </w:tcPr>
          <w:p>
            <w:pPr>
              <w:ind w:firstLine="0" w:firstLineChars="0"/>
              <w:jc w:val="center"/>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3</w:t>
            </w:r>
          </w:p>
        </w:tc>
        <w:tc>
          <w:tcPr>
            <w:tcW w:w="1701" w:type="dxa"/>
            <w:gridSpan w:val="2"/>
            <w:tcBorders>
              <w:top w:val="nil"/>
              <w:left w:val="nil"/>
              <w:bottom w:val="single" w:color="auto" w:sz="4" w:space="0"/>
              <w:right w:val="single" w:color="auto" w:sz="4" w:space="0"/>
            </w:tcBorders>
            <w:vAlign w:val="center"/>
          </w:tcPr>
          <w:p>
            <w:pPr>
              <w:ind w:firstLine="0" w:firstLineChars="0"/>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局部碰伤</w:t>
            </w:r>
          </w:p>
        </w:tc>
        <w:tc>
          <w:tcPr>
            <w:tcW w:w="667" w:type="dxa"/>
            <w:tcBorders>
              <w:top w:val="nil"/>
              <w:left w:val="nil"/>
              <w:bottom w:val="single" w:color="auto" w:sz="4" w:space="0"/>
              <w:right w:val="single" w:color="auto" w:sz="4" w:space="0"/>
            </w:tcBorders>
            <w:vAlign w:val="center"/>
          </w:tcPr>
          <w:p>
            <w:pPr>
              <w:ind w:firstLine="0" w:firstLineChars="0"/>
              <w:jc w:val="center"/>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B</w:t>
            </w:r>
          </w:p>
        </w:tc>
        <w:tc>
          <w:tcPr>
            <w:tcW w:w="5059" w:type="dxa"/>
            <w:tcBorders>
              <w:top w:val="nil"/>
              <w:left w:val="nil"/>
              <w:bottom w:val="single" w:color="auto" w:sz="4" w:space="0"/>
              <w:right w:val="single" w:color="auto" w:sz="4" w:space="0"/>
            </w:tcBorders>
            <w:vAlign w:val="center"/>
          </w:tcPr>
          <w:p>
            <w:pPr>
              <w:ind w:firstLine="420"/>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局部不应碰伤。但如碰伤深度不大于10mm、每处面积不大于50cm2时，允许修补。预留孔周围砼损伤深度不大于4mm。</w:t>
            </w:r>
          </w:p>
        </w:tc>
      </w:tr>
      <w:tr>
        <w:tblPrEx>
          <w:tblLayout w:type="fixed"/>
          <w:tblCellMar>
            <w:top w:w="0" w:type="dxa"/>
            <w:left w:w="57" w:type="dxa"/>
            <w:bottom w:w="0" w:type="dxa"/>
            <w:right w:w="57" w:type="dxa"/>
          </w:tblCellMar>
        </w:tblPrEx>
        <w:trPr>
          <w:trHeight w:val="285" w:hRule="atLeast"/>
        </w:trPr>
        <w:tc>
          <w:tcPr>
            <w:tcW w:w="993" w:type="dxa"/>
            <w:tcBorders>
              <w:top w:val="nil"/>
              <w:left w:val="single" w:color="auto" w:sz="4" w:space="0"/>
              <w:bottom w:val="single" w:color="auto" w:sz="4" w:space="0"/>
              <w:right w:val="single" w:color="auto" w:sz="4" w:space="0"/>
            </w:tcBorders>
            <w:vAlign w:val="center"/>
          </w:tcPr>
          <w:p>
            <w:pPr>
              <w:ind w:firstLine="0" w:firstLineChars="0"/>
              <w:jc w:val="center"/>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4</w:t>
            </w:r>
          </w:p>
        </w:tc>
        <w:tc>
          <w:tcPr>
            <w:tcW w:w="1701" w:type="dxa"/>
            <w:gridSpan w:val="2"/>
            <w:tcBorders>
              <w:top w:val="nil"/>
              <w:left w:val="nil"/>
              <w:bottom w:val="single" w:color="auto" w:sz="4" w:space="0"/>
              <w:right w:val="single" w:color="auto" w:sz="4" w:space="0"/>
            </w:tcBorders>
            <w:vAlign w:val="center"/>
          </w:tcPr>
          <w:p>
            <w:pPr>
              <w:ind w:firstLine="0" w:firstLineChars="0"/>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内、外表面露筋</w:t>
            </w:r>
          </w:p>
        </w:tc>
        <w:tc>
          <w:tcPr>
            <w:tcW w:w="667" w:type="dxa"/>
            <w:tcBorders>
              <w:top w:val="nil"/>
              <w:left w:val="nil"/>
              <w:bottom w:val="single" w:color="auto" w:sz="4" w:space="0"/>
              <w:right w:val="single" w:color="auto" w:sz="4" w:space="0"/>
            </w:tcBorders>
            <w:vAlign w:val="center"/>
          </w:tcPr>
          <w:p>
            <w:pPr>
              <w:ind w:firstLine="0" w:firstLineChars="0"/>
              <w:jc w:val="center"/>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A</w:t>
            </w:r>
          </w:p>
        </w:tc>
        <w:tc>
          <w:tcPr>
            <w:tcW w:w="5059" w:type="dxa"/>
            <w:tcBorders>
              <w:top w:val="nil"/>
              <w:left w:val="nil"/>
              <w:bottom w:val="single" w:color="auto" w:sz="4" w:space="0"/>
              <w:right w:val="single" w:color="auto" w:sz="4" w:space="0"/>
            </w:tcBorders>
            <w:vAlign w:val="center"/>
          </w:tcPr>
          <w:p>
            <w:pPr>
              <w:ind w:firstLine="420"/>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不允许</w:t>
            </w:r>
          </w:p>
        </w:tc>
      </w:tr>
      <w:tr>
        <w:tblPrEx>
          <w:tblLayout w:type="fixed"/>
          <w:tblCellMar>
            <w:top w:w="0" w:type="dxa"/>
            <w:left w:w="57" w:type="dxa"/>
            <w:bottom w:w="0" w:type="dxa"/>
            <w:right w:w="57" w:type="dxa"/>
          </w:tblCellMar>
        </w:tblPrEx>
        <w:trPr>
          <w:trHeight w:val="285" w:hRule="atLeast"/>
        </w:trPr>
        <w:tc>
          <w:tcPr>
            <w:tcW w:w="993" w:type="dxa"/>
            <w:tcBorders>
              <w:top w:val="nil"/>
              <w:left w:val="single" w:color="auto" w:sz="4" w:space="0"/>
              <w:bottom w:val="single" w:color="auto" w:sz="4" w:space="0"/>
              <w:right w:val="single" w:color="auto" w:sz="4" w:space="0"/>
            </w:tcBorders>
            <w:vAlign w:val="center"/>
          </w:tcPr>
          <w:p>
            <w:pPr>
              <w:ind w:firstLine="0" w:firstLineChars="0"/>
              <w:jc w:val="center"/>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5</w:t>
            </w:r>
          </w:p>
        </w:tc>
        <w:tc>
          <w:tcPr>
            <w:tcW w:w="1701" w:type="dxa"/>
            <w:gridSpan w:val="2"/>
            <w:tcBorders>
              <w:top w:val="nil"/>
              <w:left w:val="nil"/>
              <w:bottom w:val="single" w:color="auto" w:sz="4" w:space="0"/>
              <w:right w:val="single" w:color="auto" w:sz="4" w:space="0"/>
            </w:tcBorders>
            <w:vAlign w:val="center"/>
          </w:tcPr>
          <w:p>
            <w:pPr>
              <w:ind w:firstLine="0" w:firstLineChars="0"/>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内表面混凝土塌落</w:t>
            </w:r>
          </w:p>
        </w:tc>
        <w:tc>
          <w:tcPr>
            <w:tcW w:w="667" w:type="dxa"/>
            <w:tcBorders>
              <w:top w:val="nil"/>
              <w:left w:val="nil"/>
              <w:bottom w:val="single" w:color="auto" w:sz="4" w:space="0"/>
              <w:right w:val="single" w:color="auto" w:sz="4" w:space="0"/>
            </w:tcBorders>
            <w:vAlign w:val="center"/>
          </w:tcPr>
          <w:p>
            <w:pPr>
              <w:ind w:firstLine="0" w:firstLineChars="0"/>
              <w:jc w:val="center"/>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A</w:t>
            </w:r>
          </w:p>
        </w:tc>
        <w:tc>
          <w:tcPr>
            <w:tcW w:w="5059" w:type="dxa"/>
            <w:tcBorders>
              <w:top w:val="nil"/>
              <w:left w:val="nil"/>
              <w:bottom w:val="single" w:color="auto" w:sz="4" w:space="0"/>
              <w:right w:val="single" w:color="auto" w:sz="4" w:space="0"/>
            </w:tcBorders>
            <w:vAlign w:val="center"/>
          </w:tcPr>
          <w:p>
            <w:pPr>
              <w:ind w:firstLine="420"/>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不允许</w:t>
            </w:r>
          </w:p>
        </w:tc>
      </w:tr>
      <w:tr>
        <w:tblPrEx>
          <w:tblLayout w:type="fixed"/>
          <w:tblCellMar>
            <w:top w:w="0" w:type="dxa"/>
            <w:left w:w="57" w:type="dxa"/>
            <w:bottom w:w="0" w:type="dxa"/>
            <w:right w:w="57" w:type="dxa"/>
          </w:tblCellMar>
        </w:tblPrEx>
        <w:trPr>
          <w:trHeight w:val="285" w:hRule="atLeast"/>
        </w:trPr>
        <w:tc>
          <w:tcPr>
            <w:tcW w:w="993" w:type="dxa"/>
            <w:tcBorders>
              <w:top w:val="nil"/>
              <w:left w:val="single" w:color="auto" w:sz="4" w:space="0"/>
              <w:bottom w:val="single" w:color="auto" w:sz="4" w:space="0"/>
              <w:right w:val="single" w:color="auto" w:sz="4" w:space="0"/>
            </w:tcBorders>
            <w:vAlign w:val="center"/>
          </w:tcPr>
          <w:p>
            <w:pPr>
              <w:ind w:firstLine="0" w:firstLineChars="0"/>
              <w:jc w:val="center"/>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6</w:t>
            </w:r>
          </w:p>
        </w:tc>
        <w:tc>
          <w:tcPr>
            <w:tcW w:w="1701" w:type="dxa"/>
            <w:gridSpan w:val="2"/>
            <w:tcBorders>
              <w:top w:val="nil"/>
              <w:left w:val="nil"/>
              <w:bottom w:val="single" w:color="auto" w:sz="4" w:space="0"/>
              <w:right w:val="single" w:color="auto" w:sz="4" w:space="0"/>
            </w:tcBorders>
            <w:vAlign w:val="center"/>
          </w:tcPr>
          <w:p>
            <w:pPr>
              <w:ind w:firstLine="0" w:firstLineChars="0"/>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蜂窝</w:t>
            </w:r>
          </w:p>
        </w:tc>
        <w:tc>
          <w:tcPr>
            <w:tcW w:w="667" w:type="dxa"/>
            <w:tcBorders>
              <w:top w:val="nil"/>
              <w:left w:val="nil"/>
              <w:bottom w:val="single" w:color="auto" w:sz="4" w:space="0"/>
              <w:right w:val="single" w:color="auto" w:sz="4" w:space="0"/>
            </w:tcBorders>
            <w:vAlign w:val="center"/>
          </w:tcPr>
          <w:p>
            <w:pPr>
              <w:ind w:firstLine="0" w:firstLineChars="0"/>
              <w:jc w:val="center"/>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A</w:t>
            </w:r>
          </w:p>
        </w:tc>
        <w:tc>
          <w:tcPr>
            <w:tcW w:w="5059" w:type="dxa"/>
            <w:tcBorders>
              <w:top w:val="nil"/>
              <w:left w:val="nil"/>
              <w:bottom w:val="single" w:color="auto" w:sz="4" w:space="0"/>
              <w:right w:val="single" w:color="auto" w:sz="4" w:space="0"/>
            </w:tcBorders>
            <w:vAlign w:val="center"/>
          </w:tcPr>
          <w:p>
            <w:pPr>
              <w:ind w:firstLine="420"/>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不允许</w:t>
            </w:r>
          </w:p>
        </w:tc>
      </w:tr>
      <w:tr>
        <w:tblPrEx>
          <w:tblLayout w:type="fixed"/>
          <w:tblCellMar>
            <w:top w:w="0" w:type="dxa"/>
            <w:left w:w="57" w:type="dxa"/>
            <w:bottom w:w="0" w:type="dxa"/>
            <w:right w:w="57" w:type="dxa"/>
          </w:tblCellMar>
        </w:tblPrEx>
        <w:trPr>
          <w:trHeight w:val="570" w:hRule="atLeast"/>
        </w:trPr>
        <w:tc>
          <w:tcPr>
            <w:tcW w:w="993" w:type="dxa"/>
            <w:tcBorders>
              <w:top w:val="nil"/>
              <w:left w:val="single" w:color="auto" w:sz="4" w:space="0"/>
              <w:bottom w:val="single" w:color="auto" w:sz="4" w:space="0"/>
              <w:right w:val="single" w:color="auto" w:sz="4" w:space="0"/>
            </w:tcBorders>
            <w:vAlign w:val="center"/>
          </w:tcPr>
          <w:p>
            <w:pPr>
              <w:ind w:firstLine="0" w:firstLineChars="0"/>
              <w:jc w:val="center"/>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7</w:t>
            </w:r>
          </w:p>
        </w:tc>
        <w:tc>
          <w:tcPr>
            <w:tcW w:w="1701" w:type="dxa"/>
            <w:gridSpan w:val="2"/>
            <w:tcBorders>
              <w:top w:val="nil"/>
              <w:left w:val="nil"/>
              <w:bottom w:val="single" w:color="auto" w:sz="4" w:space="0"/>
              <w:right w:val="single" w:color="auto" w:sz="4" w:space="0"/>
            </w:tcBorders>
            <w:vAlign w:val="center"/>
          </w:tcPr>
          <w:p>
            <w:pPr>
              <w:ind w:firstLine="0" w:firstLineChars="0"/>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麻面、粘皮</w:t>
            </w:r>
          </w:p>
        </w:tc>
        <w:tc>
          <w:tcPr>
            <w:tcW w:w="667" w:type="dxa"/>
            <w:tcBorders>
              <w:top w:val="nil"/>
              <w:left w:val="nil"/>
              <w:bottom w:val="single" w:color="auto" w:sz="4" w:space="0"/>
              <w:right w:val="single" w:color="auto" w:sz="4" w:space="0"/>
            </w:tcBorders>
            <w:vAlign w:val="center"/>
          </w:tcPr>
          <w:p>
            <w:pPr>
              <w:ind w:firstLine="0" w:firstLineChars="0"/>
              <w:jc w:val="center"/>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B</w:t>
            </w:r>
          </w:p>
        </w:tc>
        <w:tc>
          <w:tcPr>
            <w:tcW w:w="5059" w:type="dxa"/>
            <w:tcBorders>
              <w:top w:val="nil"/>
              <w:left w:val="nil"/>
              <w:bottom w:val="single" w:color="auto" w:sz="4" w:space="0"/>
              <w:right w:val="single" w:color="auto" w:sz="4" w:space="0"/>
            </w:tcBorders>
            <w:vAlign w:val="center"/>
          </w:tcPr>
          <w:p>
            <w:pPr>
              <w:ind w:firstLine="420"/>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不应有麻面或粘皮。但如每米长度内麻面或粘皮总面积不大于相同长度外表面积的1%时，允许修补。</w:t>
            </w:r>
          </w:p>
        </w:tc>
      </w:tr>
      <w:tr>
        <w:tblPrEx>
          <w:tblLayout w:type="fixed"/>
          <w:tblCellMar>
            <w:top w:w="0" w:type="dxa"/>
            <w:left w:w="57" w:type="dxa"/>
            <w:bottom w:w="0" w:type="dxa"/>
            <w:right w:w="57" w:type="dxa"/>
          </w:tblCellMar>
        </w:tblPrEx>
        <w:trPr>
          <w:trHeight w:val="570" w:hRule="atLeast"/>
        </w:trPr>
        <w:tc>
          <w:tcPr>
            <w:tcW w:w="993" w:type="dxa"/>
            <w:tcBorders>
              <w:top w:val="nil"/>
              <w:left w:val="single" w:color="auto" w:sz="4" w:space="0"/>
              <w:bottom w:val="single" w:color="auto" w:sz="4" w:space="0"/>
              <w:right w:val="single" w:color="auto" w:sz="4" w:space="0"/>
            </w:tcBorders>
            <w:vAlign w:val="center"/>
          </w:tcPr>
          <w:p>
            <w:pPr>
              <w:ind w:firstLine="0" w:firstLineChars="0"/>
              <w:jc w:val="center"/>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8</w:t>
            </w:r>
          </w:p>
        </w:tc>
        <w:tc>
          <w:tcPr>
            <w:tcW w:w="1701" w:type="dxa"/>
            <w:gridSpan w:val="2"/>
            <w:tcBorders>
              <w:top w:val="nil"/>
              <w:left w:val="nil"/>
              <w:bottom w:val="single" w:color="auto" w:sz="4" w:space="0"/>
              <w:right w:val="single" w:color="auto" w:sz="4" w:space="0"/>
            </w:tcBorders>
            <w:vAlign w:val="center"/>
          </w:tcPr>
          <w:p>
            <w:pPr>
              <w:ind w:firstLine="0" w:firstLineChars="0"/>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钢板圈坡口至混凝土端面距离</w:t>
            </w:r>
          </w:p>
        </w:tc>
        <w:tc>
          <w:tcPr>
            <w:tcW w:w="667" w:type="dxa"/>
            <w:tcBorders>
              <w:top w:val="nil"/>
              <w:left w:val="nil"/>
              <w:bottom w:val="single" w:color="auto" w:sz="4" w:space="0"/>
              <w:right w:val="single" w:color="auto" w:sz="4" w:space="0"/>
            </w:tcBorders>
            <w:vAlign w:val="center"/>
          </w:tcPr>
          <w:p>
            <w:pPr>
              <w:ind w:firstLine="199" w:firstLineChars="95"/>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B</w:t>
            </w:r>
          </w:p>
        </w:tc>
        <w:tc>
          <w:tcPr>
            <w:tcW w:w="5059" w:type="dxa"/>
            <w:tcBorders>
              <w:top w:val="nil"/>
              <w:left w:val="nil"/>
              <w:bottom w:val="single" w:color="auto" w:sz="4" w:space="0"/>
              <w:right w:val="single" w:color="auto" w:sz="4" w:space="0"/>
            </w:tcBorders>
            <w:vAlign w:val="center"/>
          </w:tcPr>
          <w:p>
            <w:pPr>
              <w:ind w:firstLine="420"/>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大于钢板厚度的1.5倍且不小于20mm</w:t>
            </w:r>
          </w:p>
        </w:tc>
      </w:tr>
      <w:tr>
        <w:tblPrEx>
          <w:tblLayout w:type="fixed"/>
          <w:tblCellMar>
            <w:top w:w="0" w:type="dxa"/>
            <w:left w:w="57" w:type="dxa"/>
            <w:bottom w:w="0" w:type="dxa"/>
            <w:right w:w="57" w:type="dxa"/>
          </w:tblCellMar>
        </w:tblPrEx>
        <w:trPr>
          <w:trHeight w:val="70" w:hRule="atLeast"/>
        </w:trPr>
        <w:tc>
          <w:tcPr>
            <w:tcW w:w="8420" w:type="dxa"/>
            <w:gridSpan w:val="5"/>
            <w:tcBorders>
              <w:top w:val="nil"/>
              <w:left w:val="single" w:color="auto" w:sz="4" w:space="0"/>
              <w:bottom w:val="single" w:color="auto" w:sz="4" w:space="0"/>
              <w:right w:val="single" w:color="auto" w:sz="4" w:space="0"/>
            </w:tcBorders>
            <w:vAlign w:val="center"/>
          </w:tcPr>
          <w:p>
            <w:pPr>
              <w:ind w:firstLine="199" w:firstLineChars="95"/>
              <w:rPr>
                <w:rStyle w:val="7"/>
                <w:rFonts w:hint="eastAsia" w:ascii="宋体" w:hAnsi="宋体" w:eastAsia="宋体"/>
                <w:b w:val="0"/>
                <w:kern w:val="2"/>
                <w:sz w:val="21"/>
                <w:lang w:val="en-US" w:eastAsia="zh-CN" w:bidi="ar-SA"/>
              </w:rPr>
            </w:pPr>
            <w:r>
              <w:rPr>
                <w:rStyle w:val="7"/>
                <w:rFonts w:hint="eastAsia" w:ascii="宋体" w:hAnsi="宋体" w:eastAsia="宋体"/>
                <w:b w:val="0"/>
                <w:kern w:val="2"/>
                <w:sz w:val="21"/>
                <w:lang w:val="en-US" w:eastAsia="zh-CN" w:bidi="ar-SA"/>
              </w:rPr>
              <w:t>注：表面裂缝中不计龟纹和水纹。</w:t>
            </w:r>
          </w:p>
        </w:tc>
      </w:tr>
    </w:tbl>
    <w:p>
      <w:pPr>
        <w:ind w:firstLine="0" w:firstLineChars="0"/>
        <w:rPr>
          <w:rStyle w:val="7"/>
          <w:rFonts w:hint="eastAsia" w:ascii="宋体" w:eastAsia="宋体"/>
        </w:rPr>
      </w:pP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2.5.3 尺寸允许偏差</w:t>
      </w: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电杆外形尺寸应符合本标准要求或按设计图纸制造，尺寸允许偏差应符合表4的规定。</w:t>
      </w: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 xml:space="preserve">表4    </w:t>
      </w:r>
      <w:bookmarkStart w:id="32" w:name="_Toc12355"/>
    </w:p>
    <w:tbl>
      <w:tblPr>
        <w:tblStyle w:val="6"/>
        <w:tblW w:w="8420" w:type="dxa"/>
        <w:tblInd w:w="57" w:type="dxa"/>
        <w:tblLayout w:type="fixed"/>
        <w:tblCellMar>
          <w:top w:w="0" w:type="dxa"/>
          <w:left w:w="57" w:type="dxa"/>
          <w:bottom w:w="0" w:type="dxa"/>
          <w:right w:w="57" w:type="dxa"/>
        </w:tblCellMar>
      </w:tblPr>
      <w:tblGrid>
        <w:gridCol w:w="743"/>
        <w:gridCol w:w="817"/>
        <w:gridCol w:w="992"/>
        <w:gridCol w:w="808"/>
        <w:gridCol w:w="42"/>
        <w:gridCol w:w="2977"/>
        <w:gridCol w:w="709"/>
        <w:gridCol w:w="1332"/>
      </w:tblGrid>
      <w:tr>
        <w:tblPrEx>
          <w:tblLayout w:type="fixed"/>
          <w:tblCellMar>
            <w:top w:w="0" w:type="dxa"/>
            <w:left w:w="57" w:type="dxa"/>
            <w:bottom w:w="0" w:type="dxa"/>
            <w:right w:w="57" w:type="dxa"/>
          </w:tblCellMar>
        </w:tblPrEx>
        <w:trPr>
          <w:trHeight w:val="283" w:hRule="atLeast"/>
          <w:tblHeader/>
        </w:trPr>
        <w:tc>
          <w:tcPr>
            <w:tcW w:w="74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序号</w:t>
            </w:r>
          </w:p>
        </w:tc>
        <w:tc>
          <w:tcPr>
            <w:tcW w:w="5636" w:type="dxa"/>
            <w:gridSpan w:val="5"/>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项目</w:t>
            </w:r>
          </w:p>
        </w:tc>
        <w:tc>
          <w:tcPr>
            <w:tcW w:w="709"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项目类别</w:t>
            </w:r>
          </w:p>
        </w:tc>
        <w:tc>
          <w:tcPr>
            <w:tcW w:w="1332"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质量要求/mm</w:t>
            </w:r>
          </w:p>
        </w:tc>
      </w:tr>
      <w:tr>
        <w:tblPrEx>
          <w:tblLayout w:type="fixed"/>
          <w:tblCellMar>
            <w:top w:w="0" w:type="dxa"/>
            <w:left w:w="57" w:type="dxa"/>
            <w:bottom w:w="0" w:type="dxa"/>
            <w:right w:w="57" w:type="dxa"/>
          </w:tblCellMar>
        </w:tblPrEx>
        <w:trPr>
          <w:trHeight w:val="213" w:hRule="atLeast"/>
        </w:trPr>
        <w:tc>
          <w:tcPr>
            <w:tcW w:w="743" w:type="dxa"/>
            <w:vMerge w:val="restart"/>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1</w:t>
            </w:r>
          </w:p>
        </w:tc>
        <w:tc>
          <w:tcPr>
            <w:tcW w:w="817" w:type="dxa"/>
            <w:vMerge w:val="restart"/>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杆长</w:t>
            </w:r>
          </w:p>
        </w:tc>
        <w:tc>
          <w:tcPr>
            <w:tcW w:w="4819" w:type="dxa"/>
            <w:gridSpan w:val="4"/>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整根杆</w:t>
            </w:r>
          </w:p>
        </w:tc>
        <w:tc>
          <w:tcPr>
            <w:tcW w:w="709" w:type="dxa"/>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B</w:t>
            </w:r>
          </w:p>
        </w:tc>
        <w:tc>
          <w:tcPr>
            <w:tcW w:w="1332" w:type="dxa"/>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＋20</w:t>
            </w:r>
          </w:p>
          <w:p>
            <w:pPr>
              <w:spacing w:line="240" w:lineRule="auto"/>
              <w:ind w:firstLine="0" w:firstLineChars="0"/>
              <w:jc w:val="center"/>
              <w:rPr>
                <w:rFonts w:hint="eastAsia" w:ascii="宋体" w:hAnsi="宋体" w:cs="楷体"/>
                <w:szCs w:val="21"/>
              </w:rPr>
            </w:pPr>
            <w:r>
              <w:rPr>
                <w:rFonts w:hint="eastAsia" w:ascii="宋体" w:hAnsi="宋体" w:cs="楷体"/>
                <w:szCs w:val="21"/>
              </w:rPr>
              <w:t>－40</w:t>
            </w:r>
          </w:p>
        </w:tc>
      </w:tr>
      <w:tr>
        <w:tblPrEx>
          <w:tblLayout w:type="fixed"/>
          <w:tblCellMar>
            <w:top w:w="0" w:type="dxa"/>
            <w:left w:w="57" w:type="dxa"/>
            <w:bottom w:w="0" w:type="dxa"/>
            <w:right w:w="57" w:type="dxa"/>
          </w:tblCellMar>
        </w:tblPrEx>
        <w:trPr>
          <w:trHeight w:val="285" w:hRule="atLeast"/>
        </w:trPr>
        <w:tc>
          <w:tcPr>
            <w:tcW w:w="74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楷体"/>
                <w:szCs w:val="21"/>
              </w:rPr>
            </w:pPr>
          </w:p>
        </w:tc>
        <w:tc>
          <w:tcPr>
            <w:tcW w:w="817" w:type="dxa"/>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cs="楷体"/>
                <w:szCs w:val="21"/>
              </w:rPr>
            </w:pPr>
          </w:p>
        </w:tc>
        <w:tc>
          <w:tcPr>
            <w:tcW w:w="4819" w:type="dxa"/>
            <w:gridSpan w:val="4"/>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组装杆杆段</w:t>
            </w:r>
          </w:p>
        </w:tc>
        <w:tc>
          <w:tcPr>
            <w:tcW w:w="709" w:type="dxa"/>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B</w:t>
            </w:r>
          </w:p>
        </w:tc>
        <w:tc>
          <w:tcPr>
            <w:tcW w:w="1332" w:type="dxa"/>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±10</w:t>
            </w:r>
          </w:p>
        </w:tc>
      </w:tr>
      <w:tr>
        <w:tblPrEx>
          <w:tblLayout w:type="fixed"/>
          <w:tblCellMar>
            <w:top w:w="0" w:type="dxa"/>
            <w:left w:w="57" w:type="dxa"/>
            <w:bottom w:w="0" w:type="dxa"/>
            <w:right w:w="57" w:type="dxa"/>
          </w:tblCellMar>
        </w:tblPrEx>
        <w:trPr>
          <w:trHeight w:val="70" w:hRule="atLeast"/>
        </w:trPr>
        <w:tc>
          <w:tcPr>
            <w:tcW w:w="743"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2</w:t>
            </w:r>
          </w:p>
        </w:tc>
        <w:tc>
          <w:tcPr>
            <w:tcW w:w="5636" w:type="dxa"/>
            <w:gridSpan w:val="5"/>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壁厚</w:t>
            </w:r>
          </w:p>
        </w:tc>
        <w:tc>
          <w:tcPr>
            <w:tcW w:w="709" w:type="dxa"/>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A</w:t>
            </w:r>
          </w:p>
        </w:tc>
        <w:tc>
          <w:tcPr>
            <w:tcW w:w="1332" w:type="dxa"/>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＋10</w:t>
            </w:r>
          </w:p>
          <w:p>
            <w:pPr>
              <w:spacing w:line="240" w:lineRule="auto"/>
              <w:ind w:firstLine="0" w:firstLineChars="0"/>
              <w:jc w:val="center"/>
              <w:rPr>
                <w:rFonts w:hint="eastAsia" w:ascii="宋体" w:hAnsi="宋体" w:cs="楷体"/>
                <w:szCs w:val="21"/>
              </w:rPr>
            </w:pPr>
            <w:r>
              <w:rPr>
                <w:rFonts w:hint="eastAsia" w:ascii="宋体" w:hAnsi="宋体" w:cs="楷体"/>
                <w:szCs w:val="21"/>
              </w:rPr>
              <w:t>－2</w:t>
            </w:r>
          </w:p>
        </w:tc>
      </w:tr>
      <w:tr>
        <w:tblPrEx>
          <w:tblLayout w:type="fixed"/>
          <w:tblCellMar>
            <w:top w:w="0" w:type="dxa"/>
            <w:left w:w="57" w:type="dxa"/>
            <w:bottom w:w="0" w:type="dxa"/>
            <w:right w:w="57" w:type="dxa"/>
          </w:tblCellMar>
        </w:tblPrEx>
        <w:trPr>
          <w:trHeight w:val="285" w:hRule="atLeast"/>
        </w:trPr>
        <w:tc>
          <w:tcPr>
            <w:tcW w:w="743"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3</w:t>
            </w:r>
          </w:p>
        </w:tc>
        <w:tc>
          <w:tcPr>
            <w:tcW w:w="5636" w:type="dxa"/>
            <w:gridSpan w:val="5"/>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外径</w:t>
            </w:r>
          </w:p>
        </w:tc>
        <w:tc>
          <w:tcPr>
            <w:tcW w:w="709" w:type="dxa"/>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B</w:t>
            </w:r>
          </w:p>
        </w:tc>
        <w:tc>
          <w:tcPr>
            <w:tcW w:w="1332" w:type="dxa"/>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＋4</w:t>
            </w:r>
          </w:p>
          <w:p>
            <w:pPr>
              <w:spacing w:line="240" w:lineRule="auto"/>
              <w:ind w:firstLine="0" w:firstLineChars="0"/>
              <w:jc w:val="center"/>
              <w:rPr>
                <w:rFonts w:hint="eastAsia" w:ascii="宋体" w:hAnsi="宋体" w:cs="楷体"/>
                <w:szCs w:val="21"/>
              </w:rPr>
            </w:pPr>
            <w:r>
              <w:rPr>
                <w:rFonts w:hint="eastAsia" w:ascii="宋体" w:hAnsi="宋体" w:cs="楷体"/>
                <w:szCs w:val="21"/>
              </w:rPr>
              <w:t>－2</w:t>
            </w:r>
          </w:p>
        </w:tc>
      </w:tr>
      <w:tr>
        <w:tblPrEx>
          <w:tblLayout w:type="fixed"/>
          <w:tblCellMar>
            <w:top w:w="0" w:type="dxa"/>
            <w:left w:w="57" w:type="dxa"/>
            <w:bottom w:w="0" w:type="dxa"/>
            <w:right w:w="57" w:type="dxa"/>
          </w:tblCellMar>
        </w:tblPrEx>
        <w:trPr>
          <w:trHeight w:val="285" w:hRule="atLeast"/>
        </w:trPr>
        <w:tc>
          <w:tcPr>
            <w:tcW w:w="743"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4</w:t>
            </w:r>
          </w:p>
        </w:tc>
        <w:tc>
          <w:tcPr>
            <w:tcW w:w="5636" w:type="dxa"/>
            <w:gridSpan w:val="5"/>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保护层厚度</w:t>
            </w:r>
          </w:p>
        </w:tc>
        <w:tc>
          <w:tcPr>
            <w:tcW w:w="709" w:type="dxa"/>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A</w:t>
            </w:r>
          </w:p>
        </w:tc>
        <w:tc>
          <w:tcPr>
            <w:tcW w:w="1332" w:type="dxa"/>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＋8</w:t>
            </w:r>
          </w:p>
          <w:p>
            <w:pPr>
              <w:spacing w:line="240" w:lineRule="auto"/>
              <w:ind w:firstLine="0" w:firstLineChars="0"/>
              <w:jc w:val="center"/>
              <w:rPr>
                <w:rFonts w:hint="eastAsia" w:ascii="宋体" w:hAnsi="宋体" w:cs="楷体"/>
                <w:szCs w:val="21"/>
              </w:rPr>
            </w:pPr>
            <w:r>
              <w:rPr>
                <w:rFonts w:hint="eastAsia" w:ascii="宋体" w:hAnsi="宋体" w:cs="楷体"/>
                <w:szCs w:val="21"/>
              </w:rPr>
              <w:t>－2</w:t>
            </w:r>
          </w:p>
        </w:tc>
      </w:tr>
      <w:tr>
        <w:tblPrEx>
          <w:tblLayout w:type="fixed"/>
          <w:tblCellMar>
            <w:top w:w="0" w:type="dxa"/>
            <w:left w:w="57" w:type="dxa"/>
            <w:bottom w:w="0" w:type="dxa"/>
            <w:right w:w="57" w:type="dxa"/>
          </w:tblCellMar>
        </w:tblPrEx>
        <w:trPr>
          <w:trHeight w:val="285" w:hRule="atLeast"/>
        </w:trPr>
        <w:tc>
          <w:tcPr>
            <w:tcW w:w="743" w:type="dxa"/>
            <w:vMerge w:val="restart"/>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5</w:t>
            </w:r>
          </w:p>
        </w:tc>
        <w:tc>
          <w:tcPr>
            <w:tcW w:w="817" w:type="dxa"/>
            <w:vMerge w:val="restart"/>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弯曲度</w:t>
            </w:r>
          </w:p>
        </w:tc>
        <w:tc>
          <w:tcPr>
            <w:tcW w:w="4819" w:type="dxa"/>
            <w:gridSpan w:val="4"/>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电杆梢径小于或等于190</w:t>
            </w:r>
          </w:p>
        </w:tc>
        <w:tc>
          <w:tcPr>
            <w:tcW w:w="709" w:type="dxa"/>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A</w:t>
            </w:r>
          </w:p>
        </w:tc>
        <w:tc>
          <w:tcPr>
            <w:tcW w:w="1332" w:type="dxa"/>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≤L/800</w:t>
            </w:r>
          </w:p>
        </w:tc>
      </w:tr>
      <w:tr>
        <w:tblPrEx>
          <w:tblLayout w:type="fixed"/>
          <w:tblCellMar>
            <w:top w:w="0" w:type="dxa"/>
            <w:left w:w="57" w:type="dxa"/>
            <w:bottom w:w="0" w:type="dxa"/>
            <w:right w:w="57" w:type="dxa"/>
          </w:tblCellMar>
        </w:tblPrEx>
        <w:trPr>
          <w:trHeight w:val="285" w:hRule="atLeast"/>
        </w:trPr>
        <w:tc>
          <w:tcPr>
            <w:tcW w:w="74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楷体"/>
                <w:szCs w:val="21"/>
              </w:rPr>
            </w:pPr>
          </w:p>
        </w:tc>
        <w:tc>
          <w:tcPr>
            <w:tcW w:w="817" w:type="dxa"/>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cs="楷体"/>
                <w:szCs w:val="21"/>
              </w:rPr>
            </w:pPr>
          </w:p>
        </w:tc>
        <w:tc>
          <w:tcPr>
            <w:tcW w:w="4819" w:type="dxa"/>
            <w:gridSpan w:val="4"/>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电杆梢径或直径大于190</w:t>
            </w:r>
          </w:p>
        </w:tc>
        <w:tc>
          <w:tcPr>
            <w:tcW w:w="709" w:type="dxa"/>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A</w:t>
            </w:r>
          </w:p>
        </w:tc>
        <w:tc>
          <w:tcPr>
            <w:tcW w:w="1332" w:type="dxa"/>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≤L/1000</w:t>
            </w:r>
          </w:p>
        </w:tc>
      </w:tr>
      <w:tr>
        <w:tblPrEx>
          <w:tblLayout w:type="fixed"/>
          <w:tblCellMar>
            <w:top w:w="0" w:type="dxa"/>
            <w:left w:w="57" w:type="dxa"/>
            <w:bottom w:w="0" w:type="dxa"/>
            <w:right w:w="57" w:type="dxa"/>
          </w:tblCellMar>
        </w:tblPrEx>
        <w:trPr>
          <w:trHeight w:val="285" w:hRule="atLeast"/>
        </w:trPr>
        <w:tc>
          <w:tcPr>
            <w:tcW w:w="743" w:type="dxa"/>
            <w:vMerge w:val="restart"/>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6</w:t>
            </w:r>
          </w:p>
        </w:tc>
        <w:tc>
          <w:tcPr>
            <w:tcW w:w="817" w:type="dxa"/>
            <w:vMerge w:val="restart"/>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端部倾斜</w:t>
            </w:r>
          </w:p>
        </w:tc>
        <w:tc>
          <w:tcPr>
            <w:tcW w:w="4819" w:type="dxa"/>
            <w:gridSpan w:val="4"/>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杆底</w:t>
            </w:r>
          </w:p>
        </w:tc>
        <w:tc>
          <w:tcPr>
            <w:tcW w:w="709" w:type="dxa"/>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B</w:t>
            </w:r>
          </w:p>
        </w:tc>
        <w:tc>
          <w:tcPr>
            <w:tcW w:w="1332" w:type="dxa"/>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w:t>
            </w:r>
            <w:r>
              <w:rPr>
                <w:rFonts w:ascii="宋体" w:hAnsi="宋体" w:cs="楷体"/>
                <w:szCs w:val="21"/>
              </w:rPr>
              <w:t>4</w:t>
            </w:r>
          </w:p>
        </w:tc>
      </w:tr>
      <w:tr>
        <w:tblPrEx>
          <w:tblLayout w:type="fixed"/>
          <w:tblCellMar>
            <w:top w:w="0" w:type="dxa"/>
            <w:left w:w="57" w:type="dxa"/>
            <w:bottom w:w="0" w:type="dxa"/>
            <w:right w:w="57" w:type="dxa"/>
          </w:tblCellMar>
        </w:tblPrEx>
        <w:trPr>
          <w:trHeight w:val="285" w:hRule="atLeast"/>
        </w:trPr>
        <w:tc>
          <w:tcPr>
            <w:tcW w:w="743"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p>
        </w:tc>
        <w:tc>
          <w:tcPr>
            <w:tcW w:w="817" w:type="dxa"/>
            <w:vMerge w:val="continue"/>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p>
        </w:tc>
        <w:tc>
          <w:tcPr>
            <w:tcW w:w="4819" w:type="dxa"/>
            <w:gridSpan w:val="4"/>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钢板圈</w:t>
            </w:r>
          </w:p>
        </w:tc>
        <w:tc>
          <w:tcPr>
            <w:tcW w:w="709" w:type="dxa"/>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B</w:t>
            </w:r>
          </w:p>
        </w:tc>
        <w:tc>
          <w:tcPr>
            <w:tcW w:w="1332" w:type="dxa"/>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≤3</w:t>
            </w:r>
          </w:p>
        </w:tc>
      </w:tr>
      <w:tr>
        <w:tblPrEx>
          <w:tblLayout w:type="fixed"/>
          <w:tblCellMar>
            <w:top w:w="0" w:type="dxa"/>
            <w:left w:w="57" w:type="dxa"/>
            <w:bottom w:w="0" w:type="dxa"/>
            <w:right w:w="57" w:type="dxa"/>
          </w:tblCellMar>
        </w:tblPrEx>
        <w:trPr>
          <w:trHeight w:val="285" w:hRule="atLeast"/>
        </w:trPr>
        <w:tc>
          <w:tcPr>
            <w:tcW w:w="743"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p>
        </w:tc>
        <w:tc>
          <w:tcPr>
            <w:tcW w:w="817" w:type="dxa"/>
            <w:vMerge w:val="continue"/>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p>
        </w:tc>
        <w:tc>
          <w:tcPr>
            <w:tcW w:w="4819" w:type="dxa"/>
            <w:gridSpan w:val="4"/>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法兰盘</w:t>
            </w:r>
          </w:p>
        </w:tc>
        <w:tc>
          <w:tcPr>
            <w:tcW w:w="709" w:type="dxa"/>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B</w:t>
            </w:r>
          </w:p>
        </w:tc>
        <w:tc>
          <w:tcPr>
            <w:tcW w:w="1332" w:type="dxa"/>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≤2</w:t>
            </w:r>
          </w:p>
        </w:tc>
      </w:tr>
      <w:tr>
        <w:tblPrEx>
          <w:tblLayout w:type="fixed"/>
          <w:tblCellMar>
            <w:top w:w="0" w:type="dxa"/>
            <w:left w:w="57" w:type="dxa"/>
            <w:bottom w:w="0" w:type="dxa"/>
            <w:right w:w="57" w:type="dxa"/>
          </w:tblCellMar>
        </w:tblPrEx>
        <w:trPr>
          <w:trHeight w:val="285" w:hRule="atLeast"/>
        </w:trPr>
        <w:tc>
          <w:tcPr>
            <w:tcW w:w="743"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7</w:t>
            </w:r>
          </w:p>
        </w:tc>
        <w:tc>
          <w:tcPr>
            <w:tcW w:w="817" w:type="dxa"/>
            <w:vMerge w:val="restar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预埋件</w:t>
            </w:r>
          </w:p>
        </w:tc>
        <w:tc>
          <w:tcPr>
            <w:tcW w:w="992" w:type="dxa"/>
            <w:vMerge w:val="restart"/>
            <w:tcBorders>
              <w:top w:val="nil"/>
              <w:left w:val="nil"/>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预留孔</w:t>
            </w:r>
          </w:p>
        </w:tc>
        <w:tc>
          <w:tcPr>
            <w:tcW w:w="3827" w:type="dxa"/>
            <w:gridSpan w:val="3"/>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纵向两孔间距</w:t>
            </w:r>
          </w:p>
        </w:tc>
        <w:tc>
          <w:tcPr>
            <w:tcW w:w="709" w:type="dxa"/>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B</w:t>
            </w:r>
          </w:p>
        </w:tc>
        <w:tc>
          <w:tcPr>
            <w:tcW w:w="1332" w:type="dxa"/>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±4</w:t>
            </w:r>
          </w:p>
        </w:tc>
      </w:tr>
      <w:tr>
        <w:tblPrEx>
          <w:tblLayout w:type="fixed"/>
          <w:tblCellMar>
            <w:top w:w="0" w:type="dxa"/>
            <w:left w:w="57" w:type="dxa"/>
            <w:bottom w:w="0" w:type="dxa"/>
            <w:right w:w="57" w:type="dxa"/>
          </w:tblCellMar>
        </w:tblPrEx>
        <w:trPr>
          <w:trHeight w:val="285" w:hRule="atLeast"/>
        </w:trPr>
        <w:tc>
          <w:tcPr>
            <w:tcW w:w="74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楷体"/>
                <w:szCs w:val="21"/>
              </w:rPr>
            </w:pPr>
          </w:p>
        </w:tc>
        <w:tc>
          <w:tcPr>
            <w:tcW w:w="817" w:type="dxa"/>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cs="楷体"/>
                <w:szCs w:val="21"/>
              </w:rPr>
            </w:pPr>
          </w:p>
        </w:tc>
        <w:tc>
          <w:tcPr>
            <w:tcW w:w="992" w:type="dxa"/>
            <w:vMerge w:val="continue"/>
            <w:tcBorders>
              <w:left w:val="nil"/>
              <w:right w:val="single" w:color="auto" w:sz="4" w:space="0"/>
            </w:tcBorders>
            <w:vAlign w:val="center"/>
          </w:tcPr>
          <w:p>
            <w:pPr>
              <w:spacing w:line="240" w:lineRule="auto"/>
              <w:ind w:firstLine="0" w:firstLineChars="0"/>
              <w:jc w:val="center"/>
              <w:rPr>
                <w:rFonts w:hint="eastAsia" w:ascii="宋体" w:hAnsi="宋体" w:cs="楷体"/>
                <w:szCs w:val="21"/>
              </w:rPr>
            </w:pPr>
          </w:p>
        </w:tc>
        <w:tc>
          <w:tcPr>
            <w:tcW w:w="808" w:type="dxa"/>
            <w:vMerge w:val="restart"/>
            <w:tcBorders>
              <w:top w:val="nil"/>
              <w:left w:val="nil"/>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横向</w:t>
            </w:r>
          </w:p>
        </w:tc>
        <w:tc>
          <w:tcPr>
            <w:tcW w:w="3019" w:type="dxa"/>
            <w:gridSpan w:val="2"/>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固定式</w:t>
            </w:r>
          </w:p>
        </w:tc>
        <w:tc>
          <w:tcPr>
            <w:tcW w:w="709" w:type="dxa"/>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B</w:t>
            </w:r>
          </w:p>
        </w:tc>
        <w:tc>
          <w:tcPr>
            <w:tcW w:w="1332" w:type="dxa"/>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≤2</w:t>
            </w:r>
          </w:p>
        </w:tc>
      </w:tr>
      <w:tr>
        <w:tblPrEx>
          <w:tblLayout w:type="fixed"/>
          <w:tblCellMar>
            <w:top w:w="0" w:type="dxa"/>
            <w:left w:w="57" w:type="dxa"/>
            <w:bottom w:w="0" w:type="dxa"/>
            <w:right w:w="57" w:type="dxa"/>
          </w:tblCellMar>
        </w:tblPrEx>
        <w:trPr>
          <w:trHeight w:val="285" w:hRule="atLeast"/>
        </w:trPr>
        <w:tc>
          <w:tcPr>
            <w:tcW w:w="74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楷体"/>
                <w:szCs w:val="21"/>
              </w:rPr>
            </w:pPr>
          </w:p>
        </w:tc>
        <w:tc>
          <w:tcPr>
            <w:tcW w:w="817" w:type="dxa"/>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cs="楷体"/>
                <w:szCs w:val="21"/>
              </w:rPr>
            </w:pPr>
          </w:p>
        </w:tc>
        <w:tc>
          <w:tcPr>
            <w:tcW w:w="992" w:type="dxa"/>
            <w:vMerge w:val="continue"/>
            <w:tcBorders>
              <w:left w:val="nil"/>
              <w:right w:val="single" w:color="auto" w:sz="4" w:space="0"/>
            </w:tcBorders>
            <w:vAlign w:val="center"/>
          </w:tcPr>
          <w:p>
            <w:pPr>
              <w:spacing w:line="240" w:lineRule="auto"/>
              <w:ind w:firstLine="0" w:firstLineChars="0"/>
              <w:jc w:val="center"/>
              <w:rPr>
                <w:rFonts w:hint="eastAsia" w:ascii="宋体" w:hAnsi="宋体" w:cs="楷体"/>
                <w:szCs w:val="21"/>
              </w:rPr>
            </w:pPr>
          </w:p>
        </w:tc>
        <w:tc>
          <w:tcPr>
            <w:tcW w:w="808" w:type="dxa"/>
            <w:vMerge w:val="continue"/>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p>
        </w:tc>
        <w:tc>
          <w:tcPr>
            <w:tcW w:w="3019" w:type="dxa"/>
            <w:gridSpan w:val="2"/>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埋管式</w:t>
            </w:r>
          </w:p>
        </w:tc>
        <w:tc>
          <w:tcPr>
            <w:tcW w:w="709" w:type="dxa"/>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B</w:t>
            </w:r>
          </w:p>
        </w:tc>
        <w:tc>
          <w:tcPr>
            <w:tcW w:w="1332" w:type="dxa"/>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w:t>
            </w:r>
            <w:r>
              <w:rPr>
                <w:rFonts w:ascii="宋体" w:hAnsi="宋体" w:cs="楷体"/>
                <w:szCs w:val="21"/>
              </w:rPr>
              <w:t>3</w:t>
            </w:r>
          </w:p>
        </w:tc>
      </w:tr>
      <w:tr>
        <w:tblPrEx>
          <w:tblLayout w:type="fixed"/>
          <w:tblCellMar>
            <w:top w:w="0" w:type="dxa"/>
            <w:left w:w="57" w:type="dxa"/>
            <w:bottom w:w="0" w:type="dxa"/>
            <w:right w:w="57" w:type="dxa"/>
          </w:tblCellMar>
        </w:tblPrEx>
        <w:trPr>
          <w:trHeight w:val="285" w:hRule="atLeast"/>
        </w:trPr>
        <w:tc>
          <w:tcPr>
            <w:tcW w:w="74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楷体"/>
                <w:szCs w:val="21"/>
              </w:rPr>
            </w:pPr>
          </w:p>
        </w:tc>
        <w:tc>
          <w:tcPr>
            <w:tcW w:w="817" w:type="dxa"/>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cs="楷体"/>
                <w:szCs w:val="21"/>
              </w:rPr>
            </w:pPr>
          </w:p>
        </w:tc>
        <w:tc>
          <w:tcPr>
            <w:tcW w:w="992" w:type="dxa"/>
            <w:vMerge w:val="continue"/>
            <w:tcBorders>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p>
        </w:tc>
        <w:tc>
          <w:tcPr>
            <w:tcW w:w="3827" w:type="dxa"/>
            <w:gridSpan w:val="3"/>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直径</w:t>
            </w:r>
          </w:p>
        </w:tc>
        <w:tc>
          <w:tcPr>
            <w:tcW w:w="709" w:type="dxa"/>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B</w:t>
            </w:r>
          </w:p>
        </w:tc>
        <w:tc>
          <w:tcPr>
            <w:tcW w:w="1332" w:type="dxa"/>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﹢2</w:t>
            </w:r>
          </w:p>
        </w:tc>
      </w:tr>
      <w:tr>
        <w:tblPrEx>
          <w:tblLayout w:type="fixed"/>
          <w:tblCellMar>
            <w:top w:w="0" w:type="dxa"/>
            <w:left w:w="57" w:type="dxa"/>
            <w:bottom w:w="0" w:type="dxa"/>
            <w:right w:w="57" w:type="dxa"/>
          </w:tblCellMar>
        </w:tblPrEx>
        <w:trPr>
          <w:trHeight w:val="285" w:hRule="atLeast"/>
        </w:trPr>
        <w:tc>
          <w:tcPr>
            <w:tcW w:w="74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楷体"/>
                <w:szCs w:val="21"/>
              </w:rPr>
            </w:pPr>
          </w:p>
        </w:tc>
        <w:tc>
          <w:tcPr>
            <w:tcW w:w="817" w:type="dxa"/>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cs="楷体"/>
                <w:szCs w:val="21"/>
              </w:rPr>
            </w:pPr>
          </w:p>
        </w:tc>
        <w:tc>
          <w:tcPr>
            <w:tcW w:w="992" w:type="dxa"/>
            <w:vMerge w:val="restart"/>
            <w:tcBorders>
              <w:top w:val="nil"/>
              <w:left w:val="nil"/>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钢板圈</w:t>
            </w:r>
          </w:p>
        </w:tc>
        <w:tc>
          <w:tcPr>
            <w:tcW w:w="3827" w:type="dxa"/>
            <w:gridSpan w:val="3"/>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厚度</w:t>
            </w:r>
          </w:p>
        </w:tc>
        <w:tc>
          <w:tcPr>
            <w:tcW w:w="709" w:type="dxa"/>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B</w:t>
            </w:r>
          </w:p>
        </w:tc>
        <w:tc>
          <w:tcPr>
            <w:tcW w:w="1332" w:type="dxa"/>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w:t>
            </w:r>
            <w:r>
              <w:rPr>
                <w:rFonts w:ascii="宋体" w:hAnsi="宋体" w:cs="楷体"/>
                <w:szCs w:val="21"/>
              </w:rPr>
              <w:t>1.0</w:t>
            </w:r>
          </w:p>
          <w:p>
            <w:pPr>
              <w:spacing w:line="240" w:lineRule="auto"/>
              <w:ind w:firstLine="0" w:firstLineChars="0"/>
              <w:jc w:val="center"/>
              <w:rPr>
                <w:rFonts w:hint="eastAsia" w:ascii="宋体" w:hAnsi="宋体" w:cs="楷体"/>
                <w:szCs w:val="21"/>
              </w:rPr>
            </w:pPr>
            <w:r>
              <w:rPr>
                <w:rFonts w:hint="eastAsia" w:ascii="宋体" w:hAnsi="宋体" w:cs="楷体"/>
                <w:szCs w:val="21"/>
              </w:rPr>
              <w:t>－0.6</w:t>
            </w:r>
          </w:p>
        </w:tc>
      </w:tr>
      <w:tr>
        <w:tblPrEx>
          <w:tblLayout w:type="fixed"/>
          <w:tblCellMar>
            <w:top w:w="0" w:type="dxa"/>
            <w:left w:w="57" w:type="dxa"/>
            <w:bottom w:w="0" w:type="dxa"/>
            <w:right w:w="57" w:type="dxa"/>
          </w:tblCellMar>
        </w:tblPrEx>
        <w:trPr>
          <w:trHeight w:val="285" w:hRule="atLeast"/>
        </w:trPr>
        <w:tc>
          <w:tcPr>
            <w:tcW w:w="74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楷体"/>
                <w:szCs w:val="21"/>
              </w:rPr>
            </w:pPr>
          </w:p>
        </w:tc>
        <w:tc>
          <w:tcPr>
            <w:tcW w:w="817" w:type="dxa"/>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cs="楷体"/>
                <w:szCs w:val="21"/>
              </w:rPr>
            </w:pPr>
          </w:p>
        </w:tc>
        <w:tc>
          <w:tcPr>
            <w:tcW w:w="992" w:type="dxa"/>
            <w:vMerge w:val="continue"/>
            <w:tcBorders>
              <w:left w:val="nil"/>
              <w:right w:val="single" w:color="auto" w:sz="4" w:space="0"/>
            </w:tcBorders>
            <w:vAlign w:val="center"/>
          </w:tcPr>
          <w:p>
            <w:pPr>
              <w:spacing w:line="240" w:lineRule="auto"/>
              <w:ind w:firstLine="0" w:firstLineChars="0"/>
              <w:jc w:val="center"/>
              <w:rPr>
                <w:rFonts w:hint="eastAsia" w:ascii="宋体" w:hAnsi="宋体" w:cs="楷体"/>
                <w:szCs w:val="21"/>
              </w:rPr>
            </w:pPr>
          </w:p>
        </w:tc>
        <w:tc>
          <w:tcPr>
            <w:tcW w:w="850" w:type="dxa"/>
            <w:gridSpan w:val="2"/>
            <w:vMerge w:val="restart"/>
            <w:tcBorders>
              <w:top w:val="nil"/>
              <w:left w:val="nil"/>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外径</w:t>
            </w:r>
          </w:p>
        </w:tc>
        <w:tc>
          <w:tcPr>
            <w:tcW w:w="2977" w:type="dxa"/>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电杆外径≤400</w:t>
            </w:r>
          </w:p>
        </w:tc>
        <w:tc>
          <w:tcPr>
            <w:tcW w:w="709" w:type="dxa"/>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B</w:t>
            </w:r>
          </w:p>
        </w:tc>
        <w:tc>
          <w:tcPr>
            <w:tcW w:w="1332" w:type="dxa"/>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w:t>
            </w:r>
            <w:r>
              <w:rPr>
                <w:rFonts w:ascii="宋体" w:hAnsi="宋体" w:cs="楷体"/>
                <w:szCs w:val="21"/>
              </w:rPr>
              <w:t>2</w:t>
            </w:r>
          </w:p>
        </w:tc>
      </w:tr>
      <w:tr>
        <w:tblPrEx>
          <w:tblLayout w:type="fixed"/>
          <w:tblCellMar>
            <w:top w:w="0" w:type="dxa"/>
            <w:left w:w="57" w:type="dxa"/>
            <w:bottom w:w="0" w:type="dxa"/>
            <w:right w:w="57" w:type="dxa"/>
          </w:tblCellMar>
        </w:tblPrEx>
        <w:trPr>
          <w:trHeight w:val="285" w:hRule="atLeast"/>
        </w:trPr>
        <w:tc>
          <w:tcPr>
            <w:tcW w:w="74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楷体"/>
                <w:szCs w:val="21"/>
              </w:rPr>
            </w:pPr>
          </w:p>
        </w:tc>
        <w:tc>
          <w:tcPr>
            <w:tcW w:w="817" w:type="dxa"/>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cs="楷体"/>
                <w:szCs w:val="21"/>
              </w:rPr>
            </w:pPr>
          </w:p>
        </w:tc>
        <w:tc>
          <w:tcPr>
            <w:tcW w:w="992" w:type="dxa"/>
            <w:vMerge w:val="continue"/>
            <w:tcBorders>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p>
        </w:tc>
        <w:tc>
          <w:tcPr>
            <w:tcW w:w="850" w:type="dxa"/>
            <w:gridSpan w:val="2"/>
            <w:vMerge w:val="continue"/>
            <w:tcBorders>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p>
        </w:tc>
        <w:tc>
          <w:tcPr>
            <w:tcW w:w="2977" w:type="dxa"/>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电杆外径＞400</w:t>
            </w:r>
          </w:p>
        </w:tc>
        <w:tc>
          <w:tcPr>
            <w:tcW w:w="709" w:type="dxa"/>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B</w:t>
            </w:r>
          </w:p>
        </w:tc>
        <w:tc>
          <w:tcPr>
            <w:tcW w:w="1332" w:type="dxa"/>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±3</w:t>
            </w:r>
          </w:p>
        </w:tc>
      </w:tr>
      <w:tr>
        <w:tblPrEx>
          <w:tblLayout w:type="fixed"/>
          <w:tblCellMar>
            <w:top w:w="0" w:type="dxa"/>
            <w:left w:w="57" w:type="dxa"/>
            <w:bottom w:w="0" w:type="dxa"/>
            <w:right w:w="57" w:type="dxa"/>
          </w:tblCellMar>
        </w:tblPrEx>
        <w:trPr>
          <w:trHeight w:val="285" w:hRule="atLeast"/>
        </w:trPr>
        <w:tc>
          <w:tcPr>
            <w:tcW w:w="74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楷体"/>
                <w:szCs w:val="21"/>
              </w:rPr>
            </w:pPr>
          </w:p>
        </w:tc>
        <w:tc>
          <w:tcPr>
            <w:tcW w:w="817" w:type="dxa"/>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cs="楷体"/>
                <w:szCs w:val="21"/>
              </w:rPr>
            </w:pPr>
          </w:p>
        </w:tc>
        <w:tc>
          <w:tcPr>
            <w:tcW w:w="992" w:type="dxa"/>
            <w:vMerge w:val="restart"/>
            <w:tcBorders>
              <w:top w:val="nil"/>
              <w:left w:val="nil"/>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法兰盘</w:t>
            </w:r>
          </w:p>
        </w:tc>
        <w:tc>
          <w:tcPr>
            <w:tcW w:w="3827" w:type="dxa"/>
            <w:gridSpan w:val="3"/>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内外径</w:t>
            </w:r>
          </w:p>
        </w:tc>
        <w:tc>
          <w:tcPr>
            <w:tcW w:w="709" w:type="dxa"/>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B</w:t>
            </w:r>
          </w:p>
        </w:tc>
        <w:tc>
          <w:tcPr>
            <w:tcW w:w="1332" w:type="dxa"/>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w:t>
            </w:r>
            <w:r>
              <w:rPr>
                <w:rFonts w:ascii="宋体" w:hAnsi="宋体" w:cs="楷体"/>
                <w:szCs w:val="21"/>
              </w:rPr>
              <w:t>2</w:t>
            </w:r>
          </w:p>
        </w:tc>
      </w:tr>
      <w:tr>
        <w:tblPrEx>
          <w:tblLayout w:type="fixed"/>
          <w:tblCellMar>
            <w:top w:w="0" w:type="dxa"/>
            <w:left w:w="57" w:type="dxa"/>
            <w:bottom w:w="0" w:type="dxa"/>
            <w:right w:w="57" w:type="dxa"/>
          </w:tblCellMar>
        </w:tblPrEx>
        <w:trPr>
          <w:trHeight w:val="285" w:hRule="atLeast"/>
        </w:trPr>
        <w:tc>
          <w:tcPr>
            <w:tcW w:w="74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楷体"/>
                <w:szCs w:val="21"/>
              </w:rPr>
            </w:pPr>
          </w:p>
        </w:tc>
        <w:tc>
          <w:tcPr>
            <w:tcW w:w="817" w:type="dxa"/>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cs="楷体"/>
                <w:szCs w:val="21"/>
              </w:rPr>
            </w:pPr>
          </w:p>
        </w:tc>
        <w:tc>
          <w:tcPr>
            <w:tcW w:w="992" w:type="dxa"/>
            <w:vMerge w:val="continue"/>
            <w:tcBorders>
              <w:left w:val="nil"/>
              <w:right w:val="single" w:color="auto" w:sz="4" w:space="0"/>
            </w:tcBorders>
            <w:vAlign w:val="center"/>
          </w:tcPr>
          <w:p>
            <w:pPr>
              <w:spacing w:line="240" w:lineRule="auto"/>
              <w:ind w:firstLine="0" w:firstLineChars="0"/>
              <w:jc w:val="center"/>
              <w:rPr>
                <w:rFonts w:hint="eastAsia" w:ascii="宋体" w:hAnsi="宋体" w:cs="楷体"/>
                <w:szCs w:val="21"/>
              </w:rPr>
            </w:pPr>
          </w:p>
        </w:tc>
        <w:tc>
          <w:tcPr>
            <w:tcW w:w="3827" w:type="dxa"/>
            <w:gridSpan w:val="3"/>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螺孔中心距</w:t>
            </w:r>
          </w:p>
        </w:tc>
        <w:tc>
          <w:tcPr>
            <w:tcW w:w="709" w:type="dxa"/>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B</w:t>
            </w:r>
          </w:p>
        </w:tc>
        <w:tc>
          <w:tcPr>
            <w:tcW w:w="1332" w:type="dxa"/>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w:t>
            </w:r>
            <w:r>
              <w:rPr>
                <w:rFonts w:ascii="宋体" w:hAnsi="宋体" w:cs="楷体"/>
                <w:szCs w:val="21"/>
              </w:rPr>
              <w:t>1</w:t>
            </w:r>
          </w:p>
        </w:tc>
      </w:tr>
      <w:tr>
        <w:tblPrEx>
          <w:tblLayout w:type="fixed"/>
          <w:tblCellMar>
            <w:top w:w="0" w:type="dxa"/>
            <w:left w:w="57" w:type="dxa"/>
            <w:bottom w:w="0" w:type="dxa"/>
            <w:right w:w="57" w:type="dxa"/>
          </w:tblCellMar>
        </w:tblPrEx>
        <w:trPr>
          <w:trHeight w:val="285" w:hRule="atLeast"/>
        </w:trPr>
        <w:tc>
          <w:tcPr>
            <w:tcW w:w="74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楷体"/>
                <w:szCs w:val="21"/>
              </w:rPr>
            </w:pPr>
          </w:p>
        </w:tc>
        <w:tc>
          <w:tcPr>
            <w:tcW w:w="817" w:type="dxa"/>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cs="楷体"/>
                <w:szCs w:val="21"/>
              </w:rPr>
            </w:pPr>
          </w:p>
        </w:tc>
        <w:tc>
          <w:tcPr>
            <w:tcW w:w="992" w:type="dxa"/>
            <w:vMerge w:val="continue"/>
            <w:tcBorders>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p>
        </w:tc>
        <w:tc>
          <w:tcPr>
            <w:tcW w:w="3827" w:type="dxa"/>
            <w:gridSpan w:val="3"/>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端板厚度</w:t>
            </w:r>
          </w:p>
        </w:tc>
        <w:tc>
          <w:tcPr>
            <w:tcW w:w="709" w:type="dxa"/>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B</w:t>
            </w:r>
          </w:p>
        </w:tc>
        <w:tc>
          <w:tcPr>
            <w:tcW w:w="1332" w:type="dxa"/>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w:t>
            </w:r>
            <w:r>
              <w:rPr>
                <w:rFonts w:ascii="宋体" w:hAnsi="宋体" w:cs="楷体"/>
                <w:szCs w:val="21"/>
              </w:rPr>
              <w:t>1.5</w:t>
            </w:r>
          </w:p>
          <w:p>
            <w:pPr>
              <w:spacing w:line="240" w:lineRule="auto"/>
              <w:ind w:firstLine="0" w:firstLineChars="0"/>
              <w:jc w:val="center"/>
              <w:rPr>
                <w:rFonts w:hint="eastAsia" w:ascii="宋体" w:hAnsi="宋体" w:cs="楷体"/>
                <w:szCs w:val="21"/>
              </w:rPr>
            </w:pPr>
            <w:r>
              <w:rPr>
                <w:rFonts w:hint="eastAsia" w:ascii="宋体" w:hAnsi="宋体" w:cs="楷体"/>
                <w:szCs w:val="21"/>
              </w:rPr>
              <w:t>－0.</w:t>
            </w:r>
            <w:r>
              <w:rPr>
                <w:rFonts w:ascii="宋体" w:hAnsi="宋体" w:cs="楷体"/>
                <w:szCs w:val="21"/>
              </w:rPr>
              <w:t>7</w:t>
            </w:r>
          </w:p>
        </w:tc>
      </w:tr>
      <w:tr>
        <w:tblPrEx>
          <w:tblLayout w:type="fixed"/>
          <w:tblCellMar>
            <w:top w:w="0" w:type="dxa"/>
            <w:left w:w="57" w:type="dxa"/>
            <w:bottom w:w="0" w:type="dxa"/>
            <w:right w:w="57" w:type="dxa"/>
          </w:tblCellMar>
        </w:tblPrEx>
        <w:trPr>
          <w:trHeight w:val="285" w:hRule="atLeast"/>
        </w:trPr>
        <w:tc>
          <w:tcPr>
            <w:tcW w:w="743"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jc w:val="left"/>
              <w:rPr>
                <w:rFonts w:ascii="宋体" w:hAnsi="宋体" w:cs="楷体"/>
                <w:szCs w:val="21"/>
              </w:rPr>
            </w:pPr>
            <w:r>
              <w:rPr>
                <w:rFonts w:hint="eastAsia" w:ascii="宋体" w:hAnsi="宋体" w:cs="楷体"/>
                <w:szCs w:val="21"/>
              </w:rPr>
              <w:t>8</w:t>
            </w:r>
          </w:p>
        </w:tc>
        <w:tc>
          <w:tcPr>
            <w:tcW w:w="5636" w:type="dxa"/>
            <w:gridSpan w:val="5"/>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钢板圈或法兰盘轴线与杆段轴线</w:t>
            </w:r>
          </w:p>
        </w:tc>
        <w:tc>
          <w:tcPr>
            <w:tcW w:w="709" w:type="dxa"/>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B</w:t>
            </w:r>
          </w:p>
        </w:tc>
        <w:tc>
          <w:tcPr>
            <w:tcW w:w="1332" w:type="dxa"/>
            <w:tcBorders>
              <w:top w:val="nil"/>
              <w:left w:val="nil"/>
              <w:bottom w:val="single" w:color="auto" w:sz="4" w:space="0"/>
              <w:right w:val="single" w:color="auto" w:sz="4" w:space="0"/>
            </w:tcBorders>
            <w:vAlign w:val="center"/>
          </w:tcPr>
          <w:p>
            <w:pPr>
              <w:spacing w:line="240" w:lineRule="auto"/>
              <w:ind w:firstLine="0" w:firstLineChars="0"/>
              <w:jc w:val="center"/>
              <w:rPr>
                <w:rFonts w:hint="eastAsia" w:ascii="宋体" w:hAnsi="宋体" w:cs="楷体"/>
                <w:szCs w:val="21"/>
              </w:rPr>
            </w:pPr>
            <w:r>
              <w:rPr>
                <w:rFonts w:hint="eastAsia" w:ascii="宋体" w:hAnsi="宋体" w:cs="楷体"/>
                <w:szCs w:val="21"/>
              </w:rPr>
              <w:t>≤2</w:t>
            </w:r>
          </w:p>
        </w:tc>
      </w:tr>
      <w:tr>
        <w:tblPrEx>
          <w:tblLayout w:type="fixed"/>
          <w:tblCellMar>
            <w:top w:w="0" w:type="dxa"/>
            <w:left w:w="57" w:type="dxa"/>
            <w:bottom w:w="0" w:type="dxa"/>
            <w:right w:w="57" w:type="dxa"/>
          </w:tblCellMar>
        </w:tblPrEx>
        <w:trPr>
          <w:trHeight w:val="285" w:hRule="atLeast"/>
        </w:trPr>
        <w:tc>
          <w:tcPr>
            <w:tcW w:w="8420" w:type="dxa"/>
            <w:gridSpan w:val="8"/>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宋体" w:hAnsi="宋体" w:cs="楷体"/>
                <w:szCs w:val="21"/>
              </w:rPr>
            </w:pPr>
            <w:r>
              <w:rPr>
                <w:rFonts w:hint="eastAsia" w:ascii="宋体" w:hAnsi="宋体" w:cs="楷体"/>
                <w:szCs w:val="21"/>
              </w:rPr>
              <w:t>注：保护层厚度偏差为制造与设计的差数，但最小厚度必须符合GB/T4623-2006第6.4条规定</w:t>
            </w:r>
          </w:p>
        </w:tc>
      </w:tr>
    </w:tbl>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2.6其它要求</w:t>
      </w:r>
      <w:bookmarkEnd w:id="32"/>
      <w:r>
        <w:rPr>
          <w:rStyle w:val="7"/>
          <w:rFonts w:hint="eastAsia" w:ascii="宋体" w:hAnsi="宋体" w:eastAsia="宋体"/>
          <w:b w:val="0"/>
          <w:bCs/>
          <w:kern w:val="2"/>
          <w:sz w:val="21"/>
          <w:lang w:val="en-US" w:eastAsia="zh-CN" w:bidi="ar-SA"/>
        </w:rPr>
        <w:t xml:space="preserve"> </w:t>
      </w: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2.6.1电杆强度应满足材料表中荷载等级要求，供货前应与项目单位确定实际使用弯矩。2.6.2产品出厂前，顶端应用混凝土或砂浆封实。</w:t>
      </w: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2.6.3 产品质量合格证</w:t>
      </w: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 xml:space="preserve">    产品出厂应由中标方产品质量检验部门检查和验收，签发厂内产品合格证。</w:t>
      </w: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2.6.4环形混凝土电杆出厂时，应附带企业统一编号的出厂证明书，其内容应包括：</w:t>
      </w: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1）制造厂厂名、商标、厂址、电话；</w:t>
      </w: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2）生产日期、出厂日期；</w:t>
      </w: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3）执行标准；</w:t>
      </w: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4）产品品种、规格、载荷级别；</w:t>
      </w: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5）混凝土抗压强度检验报告；</w:t>
      </w: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6）纵向受力钢筋抗拉强度检验报告；</w:t>
      </w: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7）出厂试验报告；</w:t>
      </w: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8）设计、制造图纸</w:t>
      </w: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bookmarkStart w:id="33" w:name="_Toc15249"/>
      <w:r>
        <w:rPr>
          <w:rStyle w:val="7"/>
          <w:rFonts w:hint="eastAsia" w:ascii="宋体" w:hAnsi="宋体" w:eastAsia="宋体"/>
          <w:b w:val="0"/>
          <w:bCs/>
          <w:kern w:val="2"/>
          <w:sz w:val="21"/>
          <w:lang w:val="en-US" w:eastAsia="zh-CN" w:bidi="ar-SA"/>
        </w:rPr>
        <w:t>3试验内容及要求</w:t>
      </w:r>
      <w:bookmarkEnd w:id="33"/>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bookmarkStart w:id="34" w:name="_Toc26404"/>
      <w:r>
        <w:rPr>
          <w:rStyle w:val="7"/>
          <w:rFonts w:hint="eastAsia" w:ascii="宋体" w:hAnsi="宋体" w:eastAsia="宋体"/>
          <w:b w:val="0"/>
          <w:bCs/>
          <w:kern w:val="2"/>
          <w:sz w:val="21"/>
          <w:lang w:val="en-US" w:eastAsia="zh-CN" w:bidi="ar-SA"/>
        </w:rPr>
        <w:t>3.1 试验分类</w:t>
      </w:r>
      <w:bookmarkEnd w:id="34"/>
      <w:bookmarkStart w:id="35" w:name="_Toc32302"/>
      <w:bookmarkStart w:id="36" w:name="_Toc26283"/>
      <w:bookmarkStart w:id="37" w:name="_Toc17694"/>
      <w:r>
        <w:rPr>
          <w:rStyle w:val="7"/>
          <w:rFonts w:hint="eastAsia" w:ascii="宋体" w:hAnsi="宋体" w:eastAsia="宋体"/>
          <w:b w:val="0"/>
          <w:bCs/>
          <w:kern w:val="2"/>
          <w:sz w:val="21"/>
          <w:lang w:val="en-US" w:eastAsia="zh-CN" w:bidi="ar-SA"/>
        </w:rPr>
        <w:t>环形混凝土电杆试验方法除符合现行标准规定外，还应按以下要求进行型式试验、出厂试验、交接试验和抽检试验。型式试验是由具有资质的检验（检测）单位，根据国家标准进行的检验，并出具型式试验报告。出厂试验是制造企业质量检验部门，根据制造技术要求和国家标准，逐批（逐件）进行的检验。交接试验是项目建设单位，在到货现场或安装现场组批进行的检验。抽检试验是由项目建设单位，在制造过程中或出厂试验合格后进行的质量验证性试验。</w:t>
      </w:r>
      <w:bookmarkEnd w:id="35"/>
      <w:bookmarkEnd w:id="36"/>
      <w:bookmarkEnd w:id="37"/>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bookmarkStart w:id="38" w:name="_Toc24903"/>
      <w:r>
        <w:rPr>
          <w:rStyle w:val="7"/>
          <w:rFonts w:hint="eastAsia" w:ascii="宋体" w:hAnsi="宋体" w:eastAsia="宋体"/>
          <w:b w:val="0"/>
          <w:bCs/>
          <w:kern w:val="2"/>
          <w:sz w:val="21"/>
          <w:lang w:val="en-US" w:eastAsia="zh-CN" w:bidi="ar-SA"/>
        </w:rPr>
        <w:t>3.2 试验时机及抽样</w:t>
      </w:r>
      <w:bookmarkEnd w:id="38"/>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bookmarkStart w:id="39" w:name="_Toc13554"/>
      <w:bookmarkStart w:id="40" w:name="_Toc191"/>
      <w:bookmarkStart w:id="41" w:name="_Toc17930"/>
      <w:r>
        <w:rPr>
          <w:rStyle w:val="7"/>
          <w:rFonts w:hint="eastAsia" w:ascii="宋体" w:hAnsi="宋体" w:eastAsia="宋体"/>
          <w:b w:val="0"/>
          <w:bCs/>
          <w:kern w:val="2"/>
          <w:sz w:val="21"/>
          <w:lang w:val="en-US" w:eastAsia="zh-CN" w:bidi="ar-SA"/>
        </w:rPr>
        <w:t>3.2.1型式试验</w:t>
      </w:r>
      <w:bookmarkEnd w:id="39"/>
      <w:bookmarkEnd w:id="40"/>
      <w:bookmarkEnd w:id="41"/>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有以下情况之一时，应进行型式检验，型式试验对受检批中抽取的10根电杆进行。</w:t>
      </w: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1）新产品或老产品转厂生产的试制定型鉴定；</w:t>
      </w: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2）正式生产后如产品结构、原材料、生产工艺和管理有较大改变，可能影响产品性能时；</w:t>
      </w: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3）产品长期停产后，恢复生产时；</w:t>
      </w: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4）出厂检验结果与上次型式试验结果有较大差异时；</w:t>
      </w: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5）当相同产品连续生产4000根或在6个月内生产总数不足4000根时；</w:t>
      </w: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6）国家或地方质量监督检验机构提出进行检验时。</w:t>
      </w: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bookmarkStart w:id="42" w:name="_Toc19628"/>
      <w:bookmarkStart w:id="43" w:name="_Toc12456"/>
      <w:bookmarkStart w:id="44" w:name="_Toc6502"/>
      <w:r>
        <w:rPr>
          <w:rStyle w:val="7"/>
          <w:rFonts w:hint="eastAsia" w:ascii="宋体" w:hAnsi="宋体" w:eastAsia="宋体"/>
          <w:b w:val="0"/>
          <w:bCs/>
          <w:kern w:val="2"/>
          <w:sz w:val="21"/>
          <w:lang w:val="en-US" w:eastAsia="zh-CN" w:bidi="ar-SA"/>
        </w:rPr>
        <w:t>3.2.2出厂试验</w:t>
      </w:r>
      <w:bookmarkEnd w:id="42"/>
      <w:bookmarkEnd w:id="43"/>
      <w:bookmarkEnd w:id="44"/>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同材料、同工艺、同品种、同荷载级别、同规格的电杆，每2000根为一批；但在3个月内生产总数不足2000根但不少于30根时，也应作为一个检验批，从受检批中抽取10根电杆进行出厂试验。</w:t>
      </w: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bookmarkStart w:id="45" w:name="_Toc27584"/>
      <w:bookmarkStart w:id="46" w:name="_Toc23572"/>
      <w:bookmarkStart w:id="47" w:name="_Toc31793"/>
      <w:r>
        <w:rPr>
          <w:rStyle w:val="7"/>
          <w:rFonts w:hint="eastAsia" w:ascii="宋体" w:hAnsi="宋体" w:eastAsia="宋体"/>
          <w:b w:val="0"/>
          <w:bCs/>
          <w:kern w:val="2"/>
          <w:sz w:val="21"/>
          <w:lang w:val="en-US" w:eastAsia="zh-CN" w:bidi="ar-SA"/>
        </w:rPr>
        <w:t>3.2.3交接试验</w:t>
      </w:r>
      <w:bookmarkEnd w:id="45"/>
      <w:bookmarkEnd w:id="46"/>
      <w:bookmarkEnd w:id="47"/>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交接试验的抽样按项目工程组批，不同供货厂家分别组批抽检，随机抽检数量为工程数量的1%，且不少于10根电杆。</w:t>
      </w: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bookmarkStart w:id="48" w:name="_Toc22708"/>
      <w:bookmarkStart w:id="49" w:name="_Toc4789"/>
      <w:bookmarkStart w:id="50" w:name="_Toc28907"/>
      <w:r>
        <w:rPr>
          <w:rStyle w:val="7"/>
          <w:rFonts w:hint="eastAsia" w:ascii="宋体" w:hAnsi="宋体" w:eastAsia="宋体"/>
          <w:b w:val="0"/>
          <w:bCs/>
          <w:kern w:val="2"/>
          <w:sz w:val="21"/>
          <w:lang w:val="en-US" w:eastAsia="zh-CN" w:bidi="ar-SA"/>
        </w:rPr>
        <w:t>3.2.4抽检试验</w:t>
      </w:r>
      <w:bookmarkEnd w:id="48"/>
      <w:bookmarkEnd w:id="49"/>
      <w:bookmarkEnd w:id="50"/>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抽检试验从经供应厂商出厂检验合格的产品中抽样，抽样数量根据采购量确定，一般情况为一种规格抽取1根。</w:t>
      </w: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bookmarkStart w:id="51" w:name="_Toc25607"/>
      <w:r>
        <w:rPr>
          <w:rStyle w:val="7"/>
          <w:rFonts w:hint="eastAsia" w:ascii="宋体" w:hAnsi="宋体" w:eastAsia="宋体"/>
          <w:b w:val="0"/>
          <w:bCs/>
          <w:kern w:val="2"/>
          <w:sz w:val="21"/>
          <w:lang w:val="en-US" w:eastAsia="zh-CN" w:bidi="ar-SA"/>
        </w:rPr>
        <w:t>3.3试验方法和要求</w:t>
      </w:r>
      <w:bookmarkEnd w:id="51"/>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环形混凝土杆型式试验、出厂试验、交接试验的要求及方法见表2。</w:t>
      </w: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表5　环形混凝土电杆试验项目</w:t>
      </w:r>
    </w:p>
    <w:tbl>
      <w:tblPr>
        <w:tblStyle w:val="6"/>
        <w:tblW w:w="8755" w:type="dxa"/>
        <w:tblInd w:w="0" w:type="dxa"/>
        <w:tblLayout w:type="fixed"/>
        <w:tblCellMar>
          <w:top w:w="0" w:type="dxa"/>
          <w:left w:w="108" w:type="dxa"/>
          <w:bottom w:w="0" w:type="dxa"/>
          <w:right w:w="108" w:type="dxa"/>
        </w:tblCellMar>
      </w:tblPr>
      <w:tblGrid>
        <w:gridCol w:w="699"/>
        <w:gridCol w:w="774"/>
        <w:gridCol w:w="1238"/>
        <w:gridCol w:w="658"/>
        <w:gridCol w:w="708"/>
        <w:gridCol w:w="709"/>
        <w:gridCol w:w="709"/>
        <w:gridCol w:w="1276"/>
        <w:gridCol w:w="1984"/>
      </w:tblGrid>
      <w:tr>
        <w:tblPrEx>
          <w:tblLayout w:type="fixed"/>
          <w:tblCellMar>
            <w:top w:w="0" w:type="dxa"/>
            <w:left w:w="108" w:type="dxa"/>
            <w:bottom w:w="0" w:type="dxa"/>
            <w:right w:w="108" w:type="dxa"/>
          </w:tblCellMar>
        </w:tblPrEx>
        <w:trPr>
          <w:trHeight w:val="397"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序号</w:t>
            </w:r>
          </w:p>
        </w:tc>
        <w:tc>
          <w:tcPr>
            <w:tcW w:w="2012" w:type="dxa"/>
            <w:gridSpan w:val="2"/>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检验（试验项目）</w:t>
            </w:r>
          </w:p>
        </w:tc>
        <w:tc>
          <w:tcPr>
            <w:tcW w:w="658"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型式试验</w:t>
            </w:r>
          </w:p>
        </w:tc>
        <w:tc>
          <w:tcPr>
            <w:tcW w:w="708"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出厂试验</w:t>
            </w:r>
          </w:p>
        </w:tc>
        <w:tc>
          <w:tcPr>
            <w:tcW w:w="709"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交接试验</w:t>
            </w:r>
          </w:p>
        </w:tc>
        <w:tc>
          <w:tcPr>
            <w:tcW w:w="709"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抽检试验</w:t>
            </w:r>
          </w:p>
        </w:tc>
        <w:tc>
          <w:tcPr>
            <w:tcW w:w="1276"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验收要求</w:t>
            </w:r>
          </w:p>
        </w:tc>
        <w:tc>
          <w:tcPr>
            <w:tcW w:w="1984"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试验方法</w:t>
            </w:r>
          </w:p>
        </w:tc>
      </w:tr>
      <w:tr>
        <w:tblPrEx>
          <w:tblLayout w:type="fixed"/>
          <w:tblCellMar>
            <w:top w:w="0" w:type="dxa"/>
            <w:left w:w="108" w:type="dxa"/>
            <w:bottom w:w="0" w:type="dxa"/>
            <w:right w:w="108" w:type="dxa"/>
          </w:tblCellMar>
        </w:tblPrEx>
        <w:trPr>
          <w:trHeight w:val="397"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1</w:t>
            </w:r>
          </w:p>
        </w:tc>
        <w:tc>
          <w:tcPr>
            <w:tcW w:w="2012" w:type="dxa"/>
            <w:gridSpan w:val="2"/>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混凝土抗压强度</w:t>
            </w:r>
          </w:p>
        </w:tc>
        <w:tc>
          <w:tcPr>
            <w:tcW w:w="658"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w:t>
            </w:r>
          </w:p>
        </w:tc>
        <w:tc>
          <w:tcPr>
            <w:tcW w:w="708"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w:t>
            </w:r>
          </w:p>
        </w:tc>
        <w:tc>
          <w:tcPr>
            <w:tcW w:w="709"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w:t>
            </w:r>
          </w:p>
        </w:tc>
        <w:tc>
          <w:tcPr>
            <w:tcW w:w="709"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w:t>
            </w:r>
          </w:p>
        </w:tc>
        <w:tc>
          <w:tcPr>
            <w:tcW w:w="1276"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GBJ 107</w:t>
            </w:r>
          </w:p>
        </w:tc>
        <w:tc>
          <w:tcPr>
            <w:tcW w:w="1984"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GB/T 50081-2002</w:t>
            </w:r>
          </w:p>
        </w:tc>
      </w:tr>
      <w:tr>
        <w:tblPrEx>
          <w:tblLayout w:type="fixed"/>
          <w:tblCellMar>
            <w:top w:w="0" w:type="dxa"/>
            <w:left w:w="108" w:type="dxa"/>
            <w:bottom w:w="0" w:type="dxa"/>
            <w:right w:w="108" w:type="dxa"/>
          </w:tblCellMar>
        </w:tblPrEx>
        <w:trPr>
          <w:trHeight w:val="397"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2</w:t>
            </w:r>
          </w:p>
        </w:tc>
        <w:tc>
          <w:tcPr>
            <w:tcW w:w="2012" w:type="dxa"/>
            <w:gridSpan w:val="2"/>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外观质量</w:t>
            </w:r>
          </w:p>
        </w:tc>
        <w:tc>
          <w:tcPr>
            <w:tcW w:w="658"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w:t>
            </w:r>
          </w:p>
        </w:tc>
        <w:tc>
          <w:tcPr>
            <w:tcW w:w="708"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w:t>
            </w:r>
          </w:p>
        </w:tc>
        <w:tc>
          <w:tcPr>
            <w:tcW w:w="709"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w:t>
            </w:r>
          </w:p>
        </w:tc>
        <w:tc>
          <w:tcPr>
            <w:tcW w:w="709"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w:t>
            </w:r>
          </w:p>
        </w:tc>
        <w:tc>
          <w:tcPr>
            <w:tcW w:w="1276"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本标准2</w:t>
            </w:r>
          </w:p>
        </w:tc>
        <w:tc>
          <w:tcPr>
            <w:tcW w:w="1984"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GB/T 4623-2014 6.2</w:t>
            </w:r>
          </w:p>
        </w:tc>
      </w:tr>
      <w:tr>
        <w:tblPrEx>
          <w:tblLayout w:type="fixed"/>
          <w:tblCellMar>
            <w:top w:w="0" w:type="dxa"/>
            <w:left w:w="108" w:type="dxa"/>
            <w:bottom w:w="0" w:type="dxa"/>
            <w:right w:w="108" w:type="dxa"/>
          </w:tblCellMar>
        </w:tblPrEx>
        <w:trPr>
          <w:trHeight w:val="397"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3</w:t>
            </w:r>
          </w:p>
        </w:tc>
        <w:tc>
          <w:tcPr>
            <w:tcW w:w="2012" w:type="dxa"/>
            <w:gridSpan w:val="2"/>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尺寸偏差</w:t>
            </w:r>
          </w:p>
        </w:tc>
        <w:tc>
          <w:tcPr>
            <w:tcW w:w="658"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w:t>
            </w:r>
          </w:p>
        </w:tc>
        <w:tc>
          <w:tcPr>
            <w:tcW w:w="708"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w:t>
            </w:r>
          </w:p>
        </w:tc>
        <w:tc>
          <w:tcPr>
            <w:tcW w:w="709"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w:t>
            </w:r>
          </w:p>
        </w:tc>
        <w:tc>
          <w:tcPr>
            <w:tcW w:w="709"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w:t>
            </w:r>
          </w:p>
        </w:tc>
        <w:tc>
          <w:tcPr>
            <w:tcW w:w="1276"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本标准2</w:t>
            </w:r>
          </w:p>
        </w:tc>
        <w:tc>
          <w:tcPr>
            <w:tcW w:w="1984"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GB/T 4623-2014 6.3</w:t>
            </w:r>
          </w:p>
        </w:tc>
      </w:tr>
      <w:tr>
        <w:tblPrEx>
          <w:tblLayout w:type="fixed"/>
          <w:tblCellMar>
            <w:top w:w="0" w:type="dxa"/>
            <w:left w:w="108" w:type="dxa"/>
            <w:bottom w:w="0" w:type="dxa"/>
            <w:right w:w="108" w:type="dxa"/>
          </w:tblCellMar>
        </w:tblPrEx>
        <w:trPr>
          <w:trHeight w:val="397"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4</w:t>
            </w:r>
          </w:p>
        </w:tc>
        <w:tc>
          <w:tcPr>
            <w:tcW w:w="2012" w:type="dxa"/>
            <w:gridSpan w:val="2"/>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保护层厚度</w:t>
            </w:r>
          </w:p>
        </w:tc>
        <w:tc>
          <w:tcPr>
            <w:tcW w:w="658"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w:t>
            </w:r>
          </w:p>
        </w:tc>
        <w:tc>
          <w:tcPr>
            <w:tcW w:w="708"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w:t>
            </w:r>
          </w:p>
        </w:tc>
        <w:tc>
          <w:tcPr>
            <w:tcW w:w="709"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w:t>
            </w:r>
          </w:p>
        </w:tc>
        <w:tc>
          <w:tcPr>
            <w:tcW w:w="709"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w:t>
            </w:r>
          </w:p>
        </w:tc>
        <w:tc>
          <w:tcPr>
            <w:tcW w:w="1276"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本标准2</w:t>
            </w:r>
          </w:p>
        </w:tc>
        <w:tc>
          <w:tcPr>
            <w:tcW w:w="1984"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GB/T 4623-2014 6.3</w:t>
            </w:r>
          </w:p>
        </w:tc>
      </w:tr>
      <w:tr>
        <w:tblPrEx>
          <w:tblLayout w:type="fixed"/>
          <w:tblCellMar>
            <w:top w:w="0" w:type="dxa"/>
            <w:left w:w="108" w:type="dxa"/>
            <w:bottom w:w="0" w:type="dxa"/>
            <w:right w:w="108" w:type="dxa"/>
          </w:tblCellMar>
        </w:tblPrEx>
        <w:trPr>
          <w:trHeight w:val="397"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5</w:t>
            </w:r>
          </w:p>
        </w:tc>
        <w:tc>
          <w:tcPr>
            <w:tcW w:w="774" w:type="dxa"/>
            <w:vMerge w:val="restart"/>
            <w:tcBorders>
              <w:top w:val="nil"/>
              <w:left w:val="nil"/>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力学性能</w:t>
            </w:r>
          </w:p>
        </w:tc>
        <w:tc>
          <w:tcPr>
            <w:tcW w:w="1238"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抗裂检验</w:t>
            </w:r>
          </w:p>
        </w:tc>
        <w:tc>
          <w:tcPr>
            <w:tcW w:w="658"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w:t>
            </w:r>
          </w:p>
        </w:tc>
        <w:tc>
          <w:tcPr>
            <w:tcW w:w="708"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w:t>
            </w:r>
          </w:p>
        </w:tc>
        <w:tc>
          <w:tcPr>
            <w:tcW w:w="709"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w:t>
            </w:r>
          </w:p>
        </w:tc>
        <w:tc>
          <w:tcPr>
            <w:tcW w:w="709"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w:t>
            </w:r>
          </w:p>
        </w:tc>
        <w:tc>
          <w:tcPr>
            <w:tcW w:w="1276" w:type="dxa"/>
            <w:vMerge w:val="restart"/>
            <w:tcBorders>
              <w:top w:val="single" w:color="000000" w:sz="4" w:space="0"/>
              <w:left w:val="nil"/>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本标准2</w:t>
            </w:r>
          </w:p>
        </w:tc>
        <w:tc>
          <w:tcPr>
            <w:tcW w:w="1984" w:type="dxa"/>
            <w:vMerge w:val="restart"/>
            <w:tcBorders>
              <w:top w:val="single" w:color="000000" w:sz="4" w:space="0"/>
              <w:left w:val="nil"/>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GB/T 4623-2014 6.5</w:t>
            </w:r>
          </w:p>
        </w:tc>
      </w:tr>
      <w:tr>
        <w:tblPrEx>
          <w:tblLayout w:type="fixed"/>
          <w:tblCellMar>
            <w:top w:w="0" w:type="dxa"/>
            <w:left w:w="108" w:type="dxa"/>
            <w:bottom w:w="0" w:type="dxa"/>
            <w:right w:w="108" w:type="dxa"/>
          </w:tblCellMar>
        </w:tblPrEx>
        <w:trPr>
          <w:trHeight w:val="397"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6</w:t>
            </w:r>
          </w:p>
        </w:tc>
        <w:tc>
          <w:tcPr>
            <w:tcW w:w="774" w:type="dxa"/>
            <w:vMerge w:val="continue"/>
            <w:tcBorders>
              <w:left w:val="nil"/>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p>
        </w:tc>
        <w:tc>
          <w:tcPr>
            <w:tcW w:w="1238"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承载力检验</w:t>
            </w:r>
          </w:p>
        </w:tc>
        <w:tc>
          <w:tcPr>
            <w:tcW w:w="658"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w:t>
            </w:r>
          </w:p>
        </w:tc>
        <w:tc>
          <w:tcPr>
            <w:tcW w:w="708"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w:t>
            </w:r>
          </w:p>
        </w:tc>
        <w:tc>
          <w:tcPr>
            <w:tcW w:w="709"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w:t>
            </w:r>
          </w:p>
        </w:tc>
        <w:tc>
          <w:tcPr>
            <w:tcW w:w="709"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w:t>
            </w:r>
          </w:p>
        </w:tc>
        <w:tc>
          <w:tcPr>
            <w:tcW w:w="1276" w:type="dxa"/>
            <w:vMerge w:val="continue"/>
            <w:tcBorders>
              <w:left w:val="nil"/>
              <w:right w:val="single" w:color="000000" w:sz="4" w:space="0"/>
            </w:tcBorders>
            <w:vAlign w:val="top"/>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p>
        </w:tc>
        <w:tc>
          <w:tcPr>
            <w:tcW w:w="1984" w:type="dxa"/>
            <w:vMerge w:val="continue"/>
            <w:tcBorders>
              <w:left w:val="nil"/>
              <w:right w:val="single" w:color="000000" w:sz="4" w:space="0"/>
            </w:tcBorders>
            <w:vAlign w:val="top"/>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p>
        </w:tc>
      </w:tr>
      <w:tr>
        <w:tblPrEx>
          <w:tblLayout w:type="fixed"/>
          <w:tblCellMar>
            <w:top w:w="0" w:type="dxa"/>
            <w:left w:w="108" w:type="dxa"/>
            <w:bottom w:w="0" w:type="dxa"/>
            <w:right w:w="108" w:type="dxa"/>
          </w:tblCellMar>
        </w:tblPrEx>
        <w:trPr>
          <w:trHeight w:val="397"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7</w:t>
            </w:r>
          </w:p>
        </w:tc>
        <w:tc>
          <w:tcPr>
            <w:tcW w:w="774" w:type="dxa"/>
            <w:vMerge w:val="continue"/>
            <w:tcBorders>
              <w:left w:val="nil"/>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p>
        </w:tc>
        <w:tc>
          <w:tcPr>
            <w:tcW w:w="1238"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裂缝宽度</w:t>
            </w:r>
          </w:p>
        </w:tc>
        <w:tc>
          <w:tcPr>
            <w:tcW w:w="658"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w:t>
            </w:r>
          </w:p>
        </w:tc>
        <w:tc>
          <w:tcPr>
            <w:tcW w:w="708"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w:t>
            </w:r>
          </w:p>
        </w:tc>
        <w:tc>
          <w:tcPr>
            <w:tcW w:w="709"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w:t>
            </w:r>
          </w:p>
        </w:tc>
        <w:tc>
          <w:tcPr>
            <w:tcW w:w="709"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w:t>
            </w:r>
          </w:p>
        </w:tc>
        <w:tc>
          <w:tcPr>
            <w:tcW w:w="1276" w:type="dxa"/>
            <w:vMerge w:val="continue"/>
            <w:tcBorders>
              <w:left w:val="nil"/>
              <w:right w:val="single" w:color="000000" w:sz="4" w:space="0"/>
            </w:tcBorders>
            <w:vAlign w:val="top"/>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p>
        </w:tc>
        <w:tc>
          <w:tcPr>
            <w:tcW w:w="1984" w:type="dxa"/>
            <w:vMerge w:val="continue"/>
            <w:tcBorders>
              <w:left w:val="nil"/>
              <w:right w:val="single" w:color="000000" w:sz="4" w:space="0"/>
            </w:tcBorders>
            <w:vAlign w:val="top"/>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p>
        </w:tc>
      </w:tr>
      <w:tr>
        <w:tblPrEx>
          <w:tblLayout w:type="fixed"/>
          <w:tblCellMar>
            <w:top w:w="0" w:type="dxa"/>
            <w:left w:w="108" w:type="dxa"/>
            <w:bottom w:w="0" w:type="dxa"/>
            <w:right w:w="108" w:type="dxa"/>
          </w:tblCellMar>
        </w:tblPrEx>
        <w:trPr>
          <w:trHeight w:val="397"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8</w:t>
            </w:r>
          </w:p>
        </w:tc>
        <w:tc>
          <w:tcPr>
            <w:tcW w:w="774" w:type="dxa"/>
            <w:vMerge w:val="continue"/>
            <w:tcBorders>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p>
        </w:tc>
        <w:tc>
          <w:tcPr>
            <w:tcW w:w="1238"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扰度检验</w:t>
            </w:r>
          </w:p>
        </w:tc>
        <w:tc>
          <w:tcPr>
            <w:tcW w:w="658"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w:t>
            </w:r>
          </w:p>
        </w:tc>
        <w:tc>
          <w:tcPr>
            <w:tcW w:w="708"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w:t>
            </w:r>
          </w:p>
        </w:tc>
        <w:tc>
          <w:tcPr>
            <w:tcW w:w="709"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w:t>
            </w:r>
          </w:p>
        </w:tc>
        <w:tc>
          <w:tcPr>
            <w:tcW w:w="709"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w:t>
            </w:r>
          </w:p>
        </w:tc>
        <w:tc>
          <w:tcPr>
            <w:tcW w:w="1276" w:type="dxa"/>
            <w:vMerge w:val="continue"/>
            <w:tcBorders>
              <w:left w:val="nil"/>
              <w:bottom w:val="single" w:color="000000" w:sz="4" w:space="0"/>
              <w:right w:val="single" w:color="000000" w:sz="4" w:space="0"/>
            </w:tcBorders>
            <w:vAlign w:val="top"/>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p>
        </w:tc>
        <w:tc>
          <w:tcPr>
            <w:tcW w:w="1984" w:type="dxa"/>
            <w:vMerge w:val="continue"/>
            <w:tcBorders>
              <w:left w:val="nil"/>
              <w:bottom w:val="single" w:color="000000" w:sz="4" w:space="0"/>
              <w:right w:val="single" w:color="000000" w:sz="4" w:space="0"/>
            </w:tcBorders>
            <w:vAlign w:val="top"/>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p>
        </w:tc>
      </w:tr>
      <w:tr>
        <w:tblPrEx>
          <w:tblLayout w:type="fixed"/>
          <w:tblCellMar>
            <w:top w:w="0" w:type="dxa"/>
            <w:left w:w="108" w:type="dxa"/>
            <w:bottom w:w="0" w:type="dxa"/>
            <w:right w:w="108" w:type="dxa"/>
          </w:tblCellMar>
        </w:tblPrEx>
        <w:trPr>
          <w:trHeight w:val="397" w:hRule="atLeast"/>
        </w:trPr>
        <w:tc>
          <w:tcPr>
            <w:tcW w:w="699" w:type="dxa"/>
            <w:tcBorders>
              <w:top w:val="single" w:color="000000" w:sz="4" w:space="0"/>
              <w:left w:val="single" w:color="000000" w:sz="4" w:space="0"/>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9</w:t>
            </w:r>
          </w:p>
        </w:tc>
        <w:tc>
          <w:tcPr>
            <w:tcW w:w="2012" w:type="dxa"/>
            <w:gridSpan w:val="2"/>
            <w:tcBorders>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钢筋骨架质量</w:t>
            </w:r>
          </w:p>
        </w:tc>
        <w:tc>
          <w:tcPr>
            <w:tcW w:w="658"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w:t>
            </w:r>
          </w:p>
        </w:tc>
        <w:tc>
          <w:tcPr>
            <w:tcW w:w="708"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w:t>
            </w:r>
          </w:p>
        </w:tc>
        <w:tc>
          <w:tcPr>
            <w:tcW w:w="709"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w:t>
            </w:r>
          </w:p>
        </w:tc>
        <w:tc>
          <w:tcPr>
            <w:tcW w:w="709" w:type="dxa"/>
            <w:tcBorders>
              <w:top w:val="single" w:color="000000" w:sz="4" w:space="0"/>
              <w:left w:val="nil"/>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w:t>
            </w:r>
          </w:p>
        </w:tc>
        <w:tc>
          <w:tcPr>
            <w:tcW w:w="1276" w:type="dxa"/>
            <w:tcBorders>
              <w:left w:val="nil"/>
              <w:bottom w:val="single" w:color="000000" w:sz="4" w:space="0"/>
              <w:right w:val="single" w:color="000000" w:sz="4" w:space="0"/>
            </w:tcBorders>
            <w:vAlign w:val="top"/>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本标准2</w:t>
            </w:r>
          </w:p>
        </w:tc>
        <w:tc>
          <w:tcPr>
            <w:tcW w:w="1984" w:type="dxa"/>
            <w:tcBorders>
              <w:left w:val="nil"/>
              <w:bottom w:val="single" w:color="000000" w:sz="4" w:space="0"/>
              <w:right w:val="single" w:color="000000" w:sz="4" w:space="0"/>
            </w:tcBorders>
            <w:vAlign w:val="top"/>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参照GB/T 4623-2014 6.3</w:t>
            </w:r>
          </w:p>
        </w:tc>
      </w:tr>
      <w:tr>
        <w:tblPrEx>
          <w:tblLayout w:type="fixed"/>
          <w:tblCellMar>
            <w:top w:w="0" w:type="dxa"/>
            <w:left w:w="108" w:type="dxa"/>
            <w:bottom w:w="0" w:type="dxa"/>
            <w:right w:w="108" w:type="dxa"/>
          </w:tblCellMar>
        </w:tblPrEx>
        <w:trPr>
          <w:trHeight w:val="397" w:hRule="atLeast"/>
        </w:trPr>
        <w:tc>
          <w:tcPr>
            <w:tcW w:w="8755" w:type="dxa"/>
            <w:gridSpan w:val="9"/>
            <w:tcBorders>
              <w:top w:val="single" w:color="000000" w:sz="4" w:space="0"/>
              <w:left w:val="single" w:color="000000" w:sz="4" w:space="0"/>
              <w:bottom w:val="single" w:color="000000" w:sz="4" w:space="0"/>
              <w:right w:val="single" w:color="000000" w:sz="4" w:space="0"/>
            </w:tcBorders>
            <w:vAlign w:val="center"/>
          </w:tcPr>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备注：“△”为必试项目；“*”为需要时进行的试验项目</w:t>
            </w:r>
          </w:p>
        </w:tc>
      </w:tr>
    </w:tbl>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bookmarkStart w:id="52" w:name="_Toc30991"/>
      <w:bookmarkStart w:id="53" w:name="_Toc4328"/>
      <w:bookmarkStart w:id="54" w:name="_Toc4193"/>
      <w:r>
        <w:rPr>
          <w:rStyle w:val="7"/>
          <w:rFonts w:hint="eastAsia" w:ascii="宋体" w:hAnsi="宋体" w:eastAsia="宋体"/>
          <w:b w:val="0"/>
          <w:bCs/>
          <w:kern w:val="2"/>
          <w:sz w:val="21"/>
          <w:lang w:val="en-US" w:eastAsia="zh-CN" w:bidi="ar-SA"/>
        </w:rPr>
        <w:t>3.3.1混凝土抗压强度</w:t>
      </w:r>
      <w:bookmarkEnd w:id="52"/>
      <w:bookmarkEnd w:id="53"/>
      <w:bookmarkEnd w:id="54"/>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混凝土拌合物应在搅拌站或喂料工序中随机取样，制作立方体试件，三个试件为一组，试样进行标准养护，标准养护的试件用于评定28天混凝土抗压强度，试验方法按照GB/T 50081-2002，试验结果按照GBJ 107 检验评定。</w:t>
      </w:r>
      <w:bookmarkStart w:id="55" w:name="_Toc23236"/>
      <w:bookmarkStart w:id="56" w:name="_Toc31318"/>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3.3.2外观质量及尺寸偏差</w:t>
      </w:r>
      <w:bookmarkEnd w:id="55"/>
      <w:bookmarkEnd w:id="56"/>
      <w:bookmarkStart w:id="57" w:name="_Toc12105"/>
      <w:bookmarkStart w:id="58" w:name="_Toc24550"/>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逐根进行外观质量和尺寸偏差检验（不包括保护层厚度），检验方法按照GB/T 4623-2014 6.2节和6.3节的规定进行，应符合本标准2节的要求。</w:t>
      </w:r>
      <w:bookmarkEnd w:id="57"/>
      <w:bookmarkEnd w:id="58"/>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bookmarkStart w:id="59" w:name="_Toc26215"/>
      <w:bookmarkStart w:id="60" w:name="_Toc23401"/>
      <w:bookmarkStart w:id="61" w:name="_Toc12266"/>
      <w:r>
        <w:rPr>
          <w:rStyle w:val="7"/>
          <w:rFonts w:hint="eastAsia" w:ascii="宋体" w:hAnsi="宋体" w:eastAsia="宋体"/>
          <w:b w:val="0"/>
          <w:bCs/>
          <w:kern w:val="2"/>
          <w:sz w:val="21"/>
          <w:lang w:val="en-US" w:eastAsia="zh-CN" w:bidi="ar-SA"/>
        </w:rPr>
        <w:t>3.3.3力学性能</w:t>
      </w:r>
      <w:bookmarkEnd w:id="59"/>
      <w:bookmarkEnd w:id="60"/>
      <w:bookmarkEnd w:id="61"/>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bookmarkStart w:id="62" w:name="_Toc18191"/>
      <w:bookmarkStart w:id="63" w:name="_Toc19404"/>
      <w:bookmarkStart w:id="64" w:name="_Toc14201"/>
      <w:r>
        <w:rPr>
          <w:rStyle w:val="7"/>
          <w:rFonts w:hint="eastAsia" w:ascii="宋体" w:hAnsi="宋体" w:eastAsia="宋体"/>
          <w:b w:val="0"/>
          <w:bCs/>
          <w:kern w:val="2"/>
          <w:sz w:val="21"/>
          <w:lang w:val="en-US" w:eastAsia="zh-CN" w:bidi="ar-SA"/>
        </w:rPr>
        <w:t>型式试验和出厂试验从外观质量和尺寸偏差检验合格的电杆中随机抽取2根，进行力学性能检验。抽检试验对抽检数量的电杆进行力学性能试验。检验方法按照GB/T 4623-2014 6.5节规定进行，应符合本标准2节要求。</w:t>
      </w:r>
      <w:bookmarkEnd w:id="62"/>
      <w:bookmarkEnd w:id="63"/>
      <w:bookmarkEnd w:id="64"/>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bookmarkStart w:id="65" w:name="_Toc24009"/>
      <w:bookmarkStart w:id="66" w:name="_Toc15296"/>
      <w:bookmarkStart w:id="67" w:name="_Toc23370"/>
      <w:r>
        <w:rPr>
          <w:rStyle w:val="7"/>
          <w:rFonts w:hint="eastAsia" w:ascii="宋体" w:hAnsi="宋体" w:eastAsia="宋体"/>
          <w:b w:val="0"/>
          <w:bCs/>
          <w:kern w:val="2"/>
          <w:sz w:val="21"/>
          <w:lang w:val="en-US" w:eastAsia="zh-CN" w:bidi="ar-SA"/>
        </w:rPr>
        <w:t>3.3.4保护层厚度</w:t>
      </w:r>
      <w:bookmarkEnd w:id="65"/>
      <w:bookmarkEnd w:id="66"/>
      <w:bookmarkEnd w:id="67"/>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bookmarkStart w:id="68" w:name="_Toc62"/>
      <w:bookmarkStart w:id="69" w:name="_Toc3595"/>
      <w:bookmarkStart w:id="70" w:name="_Toc13236"/>
      <w:r>
        <w:rPr>
          <w:rStyle w:val="7"/>
          <w:rFonts w:hint="eastAsia" w:ascii="宋体" w:hAnsi="宋体" w:eastAsia="宋体"/>
          <w:b w:val="0"/>
          <w:bCs/>
          <w:kern w:val="2"/>
          <w:sz w:val="21"/>
          <w:lang w:val="en-US" w:eastAsia="zh-CN" w:bidi="ar-SA"/>
        </w:rPr>
        <w:t>型式试验从力学性能合格的电杆中抽取1根进行，抽检试验从抽检数量的电杆中进行，试验方法按照GB/T 4623-2014 6.3和6.4节的规定进行，应符合本标准2节要求。</w:t>
      </w:r>
      <w:bookmarkEnd w:id="68"/>
      <w:bookmarkEnd w:id="69"/>
      <w:bookmarkEnd w:id="70"/>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bookmarkStart w:id="71" w:name="_Toc22286"/>
      <w:bookmarkStart w:id="72" w:name="_Toc6210"/>
      <w:bookmarkStart w:id="73" w:name="_Toc2184"/>
      <w:r>
        <w:rPr>
          <w:rStyle w:val="7"/>
          <w:rFonts w:hint="eastAsia" w:ascii="宋体" w:hAnsi="宋体" w:eastAsia="宋体"/>
          <w:b w:val="0"/>
          <w:bCs/>
          <w:kern w:val="2"/>
          <w:sz w:val="21"/>
          <w:lang w:val="en-US" w:eastAsia="zh-CN" w:bidi="ar-SA"/>
        </w:rPr>
        <w:t>3.3.5 钢筋骨架质量</w:t>
      </w:r>
      <w:bookmarkEnd w:id="71"/>
      <w:bookmarkEnd w:id="72"/>
      <w:bookmarkEnd w:id="73"/>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抽检试验从抽检数量的电杆中进行。钢筋骨架质量检测包括所有钢筋数量、长度和尺寸复核、纵向受力钢筋间距、架立圈间距、螺旋筋间距等。钢筋数量和长度依据设计图纸进行测量；钢筋尺寸测量方法按被测钢筋相应产品标准规定的方法进行。纵向受力钢筋间距、架立圈间距、螺旋筋间距采用千分尺或直尺进行测量。</w:t>
      </w: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bookmarkStart w:id="74" w:name="_Toc16030"/>
      <w:r>
        <w:rPr>
          <w:rStyle w:val="7"/>
          <w:rFonts w:hint="eastAsia" w:ascii="宋体" w:hAnsi="宋体" w:eastAsia="宋体"/>
          <w:b w:val="0"/>
          <w:bCs/>
          <w:kern w:val="2"/>
          <w:sz w:val="21"/>
          <w:lang w:val="en-US" w:eastAsia="zh-CN" w:bidi="ar-SA"/>
        </w:rPr>
        <w:t>3.4判定规则</w:t>
      </w:r>
      <w:bookmarkEnd w:id="74"/>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bookmarkStart w:id="75" w:name="_Toc5909"/>
      <w:bookmarkStart w:id="76" w:name="_Toc4165"/>
      <w:r>
        <w:rPr>
          <w:rStyle w:val="7"/>
          <w:rFonts w:hint="eastAsia" w:ascii="宋体" w:hAnsi="宋体" w:eastAsia="宋体"/>
          <w:b w:val="0"/>
          <w:bCs/>
          <w:kern w:val="2"/>
          <w:sz w:val="21"/>
          <w:lang w:val="en-US" w:eastAsia="zh-CN" w:bidi="ar-SA"/>
        </w:rPr>
        <w:t>3.4.1外观质量和尺寸偏差</w:t>
      </w:r>
      <w:bookmarkEnd w:id="75"/>
      <w:bookmarkEnd w:id="76"/>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受检电杆中，A类项目的所有检查点必须全部合格；每项B类项目的超差不超过2个检查点。B类项目的超差不超过2项，则判定该批产品的外观质量和尺寸偏差合格。</w:t>
      </w: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bookmarkStart w:id="77" w:name="_Toc6716"/>
      <w:bookmarkStart w:id="78" w:name="_Toc19130"/>
      <w:r>
        <w:rPr>
          <w:rStyle w:val="7"/>
          <w:rFonts w:hint="eastAsia" w:ascii="宋体" w:hAnsi="宋体" w:eastAsia="宋体"/>
          <w:b w:val="0"/>
          <w:bCs/>
          <w:kern w:val="2"/>
          <w:sz w:val="21"/>
          <w:lang w:val="en-US" w:eastAsia="zh-CN" w:bidi="ar-SA"/>
        </w:rPr>
        <w:t>3.4.2力学性能</w:t>
      </w:r>
      <w:bookmarkEnd w:id="77"/>
      <w:bookmarkEnd w:id="78"/>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型式试验中力学性能（包括电杆抗裂、裂缝宽度、承载力检验弯矩和挠度检验）试验时，2根电杆均符合本标准规定时，则判该批产品力学性能合格。2根电杆中有1根不符合规定时，允许从同批产品中抽取加倍数量电杆进行复检。复检结果如全部符合规定时，则剔除原不合格的1根，判该批产品力学性能合格。复检结果如仍有1根电杆不符合时，则判该批产品力学性能不合格。2根电杆都不符合时，不得复检，判该批产品力学性能不合格。</w:t>
      </w: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抽检试验时只对抽检数量的电杆进行力学性能试验。</w:t>
      </w: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bookmarkStart w:id="79" w:name="_Toc23951"/>
      <w:bookmarkStart w:id="80" w:name="_Toc29646"/>
      <w:r>
        <w:rPr>
          <w:rStyle w:val="7"/>
          <w:rFonts w:hint="eastAsia" w:ascii="宋体" w:hAnsi="宋体" w:eastAsia="宋体"/>
          <w:b w:val="0"/>
          <w:bCs/>
          <w:kern w:val="2"/>
          <w:sz w:val="21"/>
          <w:lang w:val="en-US" w:eastAsia="zh-CN" w:bidi="ar-SA"/>
        </w:rPr>
        <w:t>3.4.3保护层厚度</w:t>
      </w:r>
      <w:bookmarkEnd w:id="79"/>
      <w:bookmarkEnd w:id="80"/>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被测的3点均符合本标准规定时，则判该批产品保护层厚度合格。3点中有1点不符合时，允许从同批产品中抽取加倍数量电杆进行复检。复检结果如全部符合时，则剔除原不合格的1根，判该批产品保护层厚度合格。复检结果如仍有1点不符合时，则判该批产品保护层厚度不合格。3点中有2点不符合时，不得复检，判该批产品保护层厚度不合格。</w:t>
      </w: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 xml:space="preserve">   </w:t>
      </w:r>
      <w:bookmarkStart w:id="81" w:name="_Toc10414"/>
      <w:bookmarkStart w:id="82" w:name="_Toc31530"/>
      <w:r>
        <w:rPr>
          <w:rStyle w:val="7"/>
          <w:rFonts w:hint="eastAsia" w:ascii="宋体" w:hAnsi="宋体" w:eastAsia="宋体"/>
          <w:b w:val="0"/>
          <w:bCs/>
          <w:kern w:val="2"/>
          <w:sz w:val="21"/>
          <w:lang w:val="en-US" w:eastAsia="zh-CN" w:bidi="ar-SA"/>
        </w:rPr>
        <w:t>3.4.4 钢筋骨架质量</w:t>
      </w:r>
      <w:bookmarkEnd w:id="81"/>
      <w:bookmarkEnd w:id="82"/>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钢筋数量和长度应符合设计图纸要求；钢筋尺寸应符合相应产品标准要求。纵向受力钢筋间距、架立圈间距、螺旋筋间距偏差应符合GB/T 4623-2014 第5.2.1的要求。</w:t>
      </w: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 xml:space="preserve">   </w:t>
      </w:r>
      <w:bookmarkStart w:id="83" w:name="_Toc21948"/>
      <w:bookmarkStart w:id="84" w:name="_Toc31098"/>
      <w:r>
        <w:rPr>
          <w:rStyle w:val="7"/>
          <w:rFonts w:hint="eastAsia" w:ascii="宋体" w:hAnsi="宋体" w:eastAsia="宋体"/>
          <w:b w:val="0"/>
          <w:bCs/>
          <w:kern w:val="2"/>
          <w:sz w:val="21"/>
          <w:lang w:val="en-US" w:eastAsia="zh-CN" w:bidi="ar-SA"/>
        </w:rPr>
        <w:t>3.4.5总判定</w:t>
      </w:r>
      <w:bookmarkEnd w:id="83"/>
      <w:bookmarkEnd w:id="84"/>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所有检测项目均合格时，则判该批产品为合格。</w:t>
      </w: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bookmarkStart w:id="85" w:name="_Toc11471"/>
      <w:r>
        <w:rPr>
          <w:rStyle w:val="7"/>
          <w:rFonts w:hint="eastAsia" w:ascii="宋体" w:hAnsi="宋体" w:eastAsia="宋体"/>
          <w:b w:val="0"/>
          <w:bCs/>
          <w:kern w:val="2"/>
          <w:sz w:val="21"/>
          <w:lang w:val="en-US" w:eastAsia="zh-CN" w:bidi="ar-SA"/>
        </w:rPr>
        <w:t>4 技术服务、检验和监造</w:t>
      </w:r>
      <w:bookmarkEnd w:id="85"/>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bookmarkStart w:id="86" w:name="_Toc1461"/>
      <w:r>
        <w:rPr>
          <w:rStyle w:val="7"/>
          <w:rFonts w:hint="eastAsia" w:ascii="宋体" w:hAnsi="宋体" w:eastAsia="宋体"/>
          <w:b w:val="0"/>
          <w:bCs/>
          <w:kern w:val="2"/>
          <w:sz w:val="21"/>
          <w:lang w:val="en-US" w:eastAsia="zh-CN" w:bidi="ar-SA"/>
        </w:rPr>
        <w:t>4.1　技术服务</w:t>
      </w:r>
      <w:bookmarkEnd w:id="86"/>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合同签订后，中标方应指定负责本工程的项目经理，负责中标方在工程全过程的各项工作，如工程进度、设计制造、图纸文件、包装运输、现场安装、验收等。钢筋混凝土杆在安装过程中，中标方应派出工地服务代表，及时解决施工过程中的产品质量问题，如发现杆身、杆段质量不能满足合同要求，中标方应进行修正或更换，做好售后服务工作。</w:t>
      </w: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bookmarkStart w:id="87" w:name="_Toc26949"/>
      <w:r>
        <w:rPr>
          <w:rStyle w:val="7"/>
          <w:rFonts w:hint="eastAsia" w:ascii="宋体" w:hAnsi="宋体" w:eastAsia="宋体"/>
          <w:b w:val="0"/>
          <w:bCs/>
          <w:kern w:val="2"/>
          <w:sz w:val="21"/>
          <w:lang w:val="en-US" w:eastAsia="zh-CN" w:bidi="ar-SA"/>
        </w:rPr>
        <w:t>4.2　检验和监造</w:t>
      </w:r>
      <w:bookmarkEnd w:id="87"/>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bookmarkStart w:id="88" w:name="_Toc6381"/>
      <w:bookmarkStart w:id="89" w:name="_Toc24321"/>
      <w:r>
        <w:rPr>
          <w:rStyle w:val="7"/>
          <w:rFonts w:hint="eastAsia" w:ascii="宋体" w:hAnsi="宋体" w:eastAsia="宋体"/>
          <w:b w:val="0"/>
          <w:bCs/>
          <w:kern w:val="2"/>
          <w:sz w:val="21"/>
          <w:lang w:val="en-US" w:eastAsia="zh-CN" w:bidi="ar-SA"/>
        </w:rPr>
        <w:t>4.2.1　工厂检验</w:t>
      </w:r>
      <w:bookmarkEnd w:id="88"/>
      <w:bookmarkEnd w:id="89"/>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产品检验包括原材料进厂检验、生产过程检验、出厂抽样检验，原材料进厂检验要求原材料符合相应标准检验要求；生产过程检验内容包括（但不限于）零部件检验、焊接质量检验，抽样检验应覆盖所有批次产品。</w:t>
      </w: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bookmarkStart w:id="90" w:name="_Toc6901"/>
      <w:bookmarkStart w:id="91" w:name="_Toc3331"/>
      <w:r>
        <w:rPr>
          <w:rStyle w:val="7"/>
          <w:rFonts w:hint="eastAsia" w:ascii="宋体" w:hAnsi="宋体" w:eastAsia="宋体"/>
          <w:b w:val="0"/>
          <w:bCs/>
          <w:kern w:val="2"/>
          <w:sz w:val="21"/>
          <w:lang w:val="en-US" w:eastAsia="zh-CN" w:bidi="ar-SA"/>
        </w:rPr>
        <w:t>4.2.2　监造</w:t>
      </w:r>
      <w:bookmarkEnd w:id="90"/>
      <w:bookmarkEnd w:id="91"/>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监造要求如下：</w:t>
      </w: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a）中标方应在开工前15天用信件或传真方式通知招标方。项目管理单位（需要时）将派出监造工程师到生产厂驻厂监造。</w:t>
      </w: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b）项目管理单位的代表在合同履行期间应有权进入制造产品的工厂和场所，中标方应向招标方代表提供充分的方便，以使其不受限制地监督中标方所进行的工作和试验。项目管理单位的检查和监造并不代替或减轻中标方对产品检验和产品质量而承担的责任。</w:t>
      </w: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c）除招标方用书面通知免予检验外，供货方不应发出未经检验和试验的产品，中标方只能在圆满地完成本部分所规定的全部试验、检验并得到项目管理单位的批准之后才能发运产品。</w:t>
      </w: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bookmarkStart w:id="92" w:name="_Toc22230"/>
      <w:bookmarkStart w:id="93" w:name="_Toc21581"/>
      <w:r>
        <w:rPr>
          <w:rStyle w:val="7"/>
          <w:rFonts w:hint="eastAsia" w:ascii="宋体" w:hAnsi="宋体" w:eastAsia="宋体"/>
          <w:b w:val="0"/>
          <w:bCs/>
          <w:kern w:val="2"/>
          <w:sz w:val="21"/>
          <w:lang w:val="en-US" w:eastAsia="zh-CN" w:bidi="ar-SA"/>
        </w:rPr>
        <w:t>4.2.3　目的站检验</w:t>
      </w:r>
      <w:bookmarkEnd w:id="92"/>
      <w:bookmarkEnd w:id="93"/>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产品到达目的站后，买卖双方应在目的站按交货单对货物的数量进行核对并检验产品的质量。必要时对中标方所交货物实施抽检。若产品质量与合同条件不符，中标方应按合同的要求改正或替换。</w:t>
      </w: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bookmarkStart w:id="94" w:name="_Toc21146"/>
      <w:bookmarkStart w:id="95" w:name="_Toc6282"/>
      <w:r>
        <w:rPr>
          <w:rStyle w:val="7"/>
          <w:rFonts w:hint="eastAsia" w:ascii="宋体" w:hAnsi="宋体" w:eastAsia="宋体"/>
          <w:b w:val="0"/>
          <w:bCs/>
          <w:kern w:val="2"/>
          <w:sz w:val="21"/>
          <w:lang w:val="en-US" w:eastAsia="zh-CN" w:bidi="ar-SA"/>
        </w:rPr>
        <w:t>4.2.4　现场检验</w:t>
      </w:r>
      <w:bookmarkEnd w:id="94"/>
      <w:bookmarkEnd w:id="95"/>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现场检验是中标方完成交货和招标方完成验收的过程，现场检验的要求为：</w:t>
      </w: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a）中标方应与监理单位、施工单位协商验收时间、地点，开包检验。</w:t>
      </w: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b）产品运抵施工现场材料站3天内，由监理单位、施工单位和中标方共同派人按选定的检查方案对产品开包检验，检验包括外观检查及数量清点，必要时对中标方所交货物实施抽检，并将检查结果填报检查验收单后送交项目管理单位。如发现产品规格、数量及外观质量与合同不符，三方应立即在验收单上注明，且由中标方在三方确认之日起7天内免费补充并供货至现场。</w:t>
      </w: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c）检查验收之后，如再发现数量短缺或损坏，由施工单位负责。</w:t>
      </w: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d）现场检验所需的场地、劳力、机具等费用由施工单位承担。</w:t>
      </w: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bookmarkStart w:id="96" w:name="_Toc17126"/>
      <w:r>
        <w:rPr>
          <w:rStyle w:val="7"/>
          <w:rFonts w:hint="eastAsia" w:ascii="宋体" w:hAnsi="宋体" w:eastAsia="宋体"/>
          <w:b w:val="0"/>
          <w:bCs/>
          <w:kern w:val="2"/>
          <w:sz w:val="21"/>
          <w:lang w:val="en-US" w:eastAsia="zh-CN" w:bidi="ar-SA"/>
        </w:rPr>
        <w:t>5 标志、包装、运输</w:t>
      </w:r>
      <w:bookmarkEnd w:id="96"/>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bookmarkStart w:id="97" w:name="_Toc12765"/>
      <w:r>
        <w:rPr>
          <w:rStyle w:val="7"/>
          <w:rFonts w:hint="eastAsia" w:ascii="宋体" w:hAnsi="宋体" w:eastAsia="宋体"/>
          <w:b w:val="0"/>
          <w:bCs/>
          <w:kern w:val="2"/>
          <w:sz w:val="21"/>
          <w:lang w:val="en-US" w:eastAsia="zh-CN" w:bidi="ar-SA"/>
        </w:rPr>
        <w:t>5.1  标志</w:t>
      </w:r>
      <w:bookmarkEnd w:id="97"/>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中标方应对货物的标识、包装和运输到合同交货地负责。</w:t>
      </w: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5.1.1 环形混凝土电杆应有永久标记及临时标记。永久标记应包括：制造厂厂名或商标、载荷级别、3m标记线。临时标记应包括锥形杆梢径（或等径杆直径）、杆长、锥形杆开裂检验荷载或代号（或等径杆开裂检验弯矩）、品种（代号）、制造日期等，标在电杆表面上，略低于永久标志。</w:t>
      </w: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临时标记方法如下：</w:t>
      </w: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梢径（或直径）×杆长开裂检验荷载或代号（或开裂检验弯矩）×品种（代号）</w:t>
      </w:r>
    </w:p>
    <w:p>
      <w:pPr>
        <w:pStyle w:val="3"/>
        <w:spacing w:line="360" w:lineRule="auto"/>
        <w:ind w:left="0" w:leftChars="0" w:firstLine="0" w:firstLineChars="0"/>
        <w:jc w:val="left"/>
        <w:rPr>
          <w:rStyle w:val="7"/>
          <w:rFonts w:hint="eastAsia" w:ascii="宋体" w:hAnsi="宋体" w:eastAsia="宋体"/>
          <w:b w:val="0"/>
          <w:bCs/>
          <w:kern w:val="2"/>
          <w:sz w:val="21"/>
          <w:lang w:val="en-US" w:eastAsia="zh-CN" w:bidi="ar-SA"/>
        </w:rPr>
      </w:pPr>
      <w:r>
        <w:rPr>
          <w:rStyle w:val="7"/>
          <w:rFonts w:hint="eastAsia" w:ascii="宋体" w:hAnsi="宋体" w:eastAsia="宋体"/>
          <w:b w:val="0"/>
          <w:bCs/>
          <w:kern w:val="2"/>
          <w:sz w:val="21"/>
          <w:lang w:val="en-US" w:eastAsia="zh-CN" w:bidi="ar-SA"/>
        </w:rPr>
        <w:t>制造日期</w:t>
      </w:r>
    </w:p>
    <w:p>
      <w:pPr>
        <w:rPr>
          <w:rFonts w:hint="eastAsia"/>
          <w:lang w:val="en-US" w:eastAsia="zh-CN"/>
        </w:rPr>
      </w:pPr>
      <w:r>
        <w:rPr>
          <w:rStyle w:val="7"/>
          <w:rFonts w:hint="eastAsia" w:ascii="宋体" w:hAnsi="宋体" w:eastAsia="宋体"/>
          <w:b w:val="0"/>
          <w:bCs/>
          <w:kern w:val="2"/>
          <w:sz w:val="21"/>
          <w:lang w:val="en-US" w:eastAsia="zh-CN" w:bidi="ar-SA"/>
        </w:rPr>
        <w:t>注1：梢径（或直径）用mm表示；杆长为m表示；开裂检验荷载用kN表示；开裂检验</w:t>
      </w:r>
    </w:p>
    <w:p>
      <w:pPr>
        <w:spacing w:line="360" w:lineRule="auto"/>
        <w:rPr>
          <w:rFonts w:hint="eastAsia" w:ascii="宋体" w:hAnsi="宋体" w:eastAsia="宋体"/>
          <w:b/>
          <w:bCs/>
          <w:sz w:val="24"/>
          <w:szCs w:val="24"/>
          <w:lang w:eastAsia="zh-CN"/>
        </w:rPr>
      </w:pPr>
    </w:p>
    <w:p>
      <w:pPr>
        <w:spacing w:line="360" w:lineRule="auto"/>
        <w:rPr>
          <w:rFonts w:hint="eastAsia" w:ascii="宋体" w:hAnsi="宋体" w:eastAsia="宋体"/>
          <w:b/>
          <w:bCs/>
          <w:sz w:val="24"/>
          <w:szCs w:val="24"/>
          <w:lang w:eastAsia="zh-CN"/>
        </w:rPr>
      </w:pPr>
    </w:p>
    <w:p>
      <w:pPr>
        <w:spacing w:line="360" w:lineRule="auto"/>
        <w:rPr>
          <w:rFonts w:hint="eastAsia" w:ascii="宋体" w:hAnsi="宋体" w:eastAsia="宋体"/>
          <w:b/>
          <w:bCs/>
          <w:sz w:val="24"/>
          <w:szCs w:val="24"/>
          <w:lang w:eastAsia="zh-CN"/>
        </w:rPr>
      </w:pPr>
    </w:p>
    <w:p>
      <w:pPr>
        <w:spacing w:line="360" w:lineRule="auto"/>
        <w:rPr>
          <w:rFonts w:hint="eastAsia" w:ascii="宋体" w:hAnsi="宋体" w:eastAsia="宋体"/>
          <w:b/>
          <w:bCs/>
          <w:sz w:val="24"/>
          <w:szCs w:val="24"/>
          <w:lang w:eastAsia="zh-CN"/>
        </w:rPr>
      </w:pPr>
      <w:r>
        <w:rPr>
          <w:rFonts w:hint="eastAsia" w:ascii="宋体" w:hAnsi="宋体" w:eastAsia="宋体"/>
          <w:b/>
          <w:bCs/>
          <w:sz w:val="24"/>
          <w:szCs w:val="24"/>
          <w:lang w:eastAsia="zh-CN"/>
        </w:rPr>
        <w:t>二标段：</w:t>
      </w:r>
    </w:p>
    <w:p>
      <w:pPr>
        <w:spacing w:line="360" w:lineRule="auto"/>
        <w:rPr>
          <w:rFonts w:hint="eastAsia" w:ascii="宋体" w:hAnsi="宋体" w:eastAsia="宋体"/>
          <w:sz w:val="24"/>
          <w:szCs w:val="24"/>
          <w:lang w:eastAsia="zh-CN"/>
        </w:rPr>
      </w:pPr>
      <w:r>
        <w:rPr>
          <w:rFonts w:hint="eastAsia" w:ascii="宋体" w:hAnsi="宋体" w:eastAsia="宋体"/>
          <w:sz w:val="24"/>
          <w:szCs w:val="24"/>
          <w:lang w:eastAsia="zh-CN"/>
        </w:rPr>
        <w:t>电缆参考文件：国家电网公司物资采购标准-电缆及附件、</w:t>
      </w:r>
      <w:r>
        <w:rPr>
          <w:rFonts w:hint="eastAsia" w:ascii="宋体" w:hAnsi="宋体" w:eastAsia="宋体"/>
          <w:sz w:val="24"/>
          <w:szCs w:val="24"/>
          <w:lang w:val="en-US" w:eastAsia="zh-CN"/>
        </w:rPr>
        <w:t>Q/GDW 13238-2014 《10kV电力电缆采购标准》</w:t>
      </w:r>
    </w:p>
    <w:p>
      <w:pPr>
        <w:spacing w:line="360" w:lineRule="auto"/>
        <w:rPr>
          <w:rFonts w:hint="eastAsia" w:ascii="宋体" w:hAnsi="宋体" w:eastAsia="宋体"/>
          <w:b/>
          <w:bCs/>
          <w:sz w:val="24"/>
          <w:szCs w:val="24"/>
          <w:lang w:eastAsia="zh-CN"/>
        </w:rPr>
      </w:pPr>
    </w:p>
    <w:p>
      <w:pPr>
        <w:spacing w:line="360" w:lineRule="auto"/>
        <w:rPr>
          <w:rFonts w:hint="eastAsia" w:ascii="宋体" w:hAnsi="宋体" w:eastAsia="宋体"/>
          <w:b/>
          <w:bCs/>
          <w:sz w:val="24"/>
          <w:szCs w:val="24"/>
          <w:lang w:eastAsia="zh-CN"/>
        </w:rPr>
      </w:pPr>
      <w:r>
        <w:rPr>
          <w:rFonts w:hint="eastAsia" w:ascii="宋体" w:hAnsi="宋体" w:eastAsia="宋体"/>
          <w:b/>
          <w:bCs/>
          <w:sz w:val="24"/>
          <w:szCs w:val="24"/>
          <w:lang w:eastAsia="zh-CN"/>
        </w:rPr>
        <w:t>三标段：</w:t>
      </w:r>
    </w:p>
    <w:p>
      <w:pPr>
        <w:spacing w:line="360" w:lineRule="auto"/>
        <w:rPr>
          <w:rFonts w:hint="eastAsia" w:ascii="宋体" w:hAnsi="宋体" w:eastAsia="宋体"/>
          <w:sz w:val="24"/>
          <w:szCs w:val="24"/>
          <w:lang w:eastAsia="zh-CN"/>
        </w:rPr>
      </w:pPr>
      <w:r>
        <w:rPr>
          <w:rFonts w:hint="eastAsia" w:ascii="宋体" w:hAnsi="宋体" w:eastAsia="宋体"/>
          <w:sz w:val="24"/>
          <w:szCs w:val="24"/>
          <w:lang w:eastAsia="zh-CN"/>
        </w:rPr>
        <w:t>架空线的参考文件：国家电网公司物资采购标准</w:t>
      </w:r>
      <w:r>
        <w:rPr>
          <w:rFonts w:hint="eastAsia" w:ascii="宋体" w:hAnsi="宋体" w:eastAsia="宋体"/>
          <w:sz w:val="24"/>
          <w:szCs w:val="24"/>
          <w:lang w:val="en-US" w:eastAsia="zh-CN"/>
        </w:rPr>
        <w:t>-</w:t>
      </w:r>
      <w:r>
        <w:rPr>
          <w:rFonts w:hint="eastAsia" w:ascii="宋体" w:hAnsi="宋体" w:eastAsia="宋体"/>
          <w:sz w:val="24"/>
          <w:szCs w:val="24"/>
          <w:lang w:eastAsia="zh-CN"/>
        </w:rPr>
        <w:t>导、地线卷、Q/GDW 13236-2014 《导、地线采购标准》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EU-F1">
    <w:altName w:val="宋体"/>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9D5B94"/>
    <w:multiLevelType w:val="singleLevel"/>
    <w:tmpl w:val="BF9D5B94"/>
    <w:lvl w:ilvl="0" w:tentative="0">
      <w:start w:val="2"/>
      <w:numFmt w:val="chineseCounting"/>
      <w:suff w:val="nothing"/>
      <w:lvlText w:val="%1、"/>
      <w:lvlJc w:val="left"/>
      <w:rPr>
        <w:rFonts w:hint="eastAsia"/>
      </w:rPr>
    </w:lvl>
  </w:abstractNum>
  <w:abstractNum w:abstractNumId="1">
    <w:nsid w:val="03D3A1D2"/>
    <w:multiLevelType w:val="singleLevel"/>
    <w:tmpl w:val="03D3A1D2"/>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567501"/>
    <w:rsid w:val="3A941777"/>
    <w:rsid w:val="3E567501"/>
    <w:rsid w:val="4C0656E3"/>
    <w:rsid w:val="53E95BCC"/>
    <w:rsid w:val="601910BE"/>
    <w:rsid w:val="63090273"/>
    <w:rsid w:val="6D535020"/>
    <w:rsid w:val="72497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jc w:val="center"/>
      <w:outlineLvl w:val="2"/>
    </w:pPr>
    <w:rPr>
      <w:rFonts w:ascii="宋体"/>
      <w:b/>
      <w:bCs/>
      <w:sz w:val="32"/>
      <w:szCs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Plain Text"/>
    <w:basedOn w:val="1"/>
    <w:qFormat/>
    <w:uiPriority w:val="0"/>
    <w:rPr>
      <w:rFonts w:ascii="宋体" w:hAnsi="Courier New"/>
      <w:szCs w:val="20"/>
    </w:rPr>
  </w:style>
  <w:style w:type="character" w:customStyle="1" w:styleId="7">
    <w:name w:val="zt Char"/>
    <w:link w:val="8"/>
    <w:qFormat/>
    <w:uiPriority w:val="0"/>
    <w:rPr>
      <w:rFonts w:ascii="EU-F1" w:eastAsia="EU-F1"/>
      <w:bCs/>
      <w:szCs w:val="21"/>
    </w:rPr>
  </w:style>
  <w:style w:type="paragraph" w:customStyle="1" w:styleId="8">
    <w:name w:val="zt"/>
    <w:basedOn w:val="1"/>
    <w:link w:val="7"/>
    <w:qFormat/>
    <w:uiPriority w:val="0"/>
    <w:pPr>
      <w:overflowPunct w:val="0"/>
      <w:topLinePunct/>
      <w:spacing w:line="312" w:lineRule="exact"/>
    </w:pPr>
    <w:rPr>
      <w:rFonts w:ascii="EU-F1" w:eastAsia="EU-F1"/>
      <w:bCs/>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2018-10-25T01:58:00Z</dcterms:created>
  <dc:creator>饒Hang</dc:creator>
  <cp:lastModifiedBy>古时明月</cp:lastModifiedBy>
  <cp:lastPrinted>2018-10-25T01:58:00Z</cp:lastPrinted>
  <dcterms:modified xsi:type="dcterms:W3CDTF">2018-10-29T03:28:42Z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